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22"/>
          <w:szCs w:val="22"/>
          <w:b w:val="1"/>
          <w:bCs w:val="1"/>
          <w:color w:val="auto"/>
        </w:rPr>
        <w:t>UNITED STATES</w:t>
      </w:r>
    </w:p>
    <w:p>
      <w:pPr>
        <w:spacing w:after="0" w:line="4"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SECURITIES AND EXCHANGE COMMISSION</w:t>
      </w:r>
    </w:p>
    <w:p>
      <w:pPr>
        <w:jc w:val="center"/>
        <w:ind w:right="-1200"/>
        <w:spacing w:after="0"/>
        <w:rPr>
          <w:sz w:val="20"/>
          <w:szCs w:val="20"/>
          <w:color w:val="auto"/>
        </w:rPr>
      </w:pPr>
      <w:r>
        <w:rPr>
          <w:rFonts w:ascii="Arial" w:cs="Arial" w:eastAsia="Arial" w:hAnsi="Arial"/>
          <w:sz w:val="22"/>
          <w:szCs w:val="22"/>
          <w:b w:val="1"/>
          <w:bCs w:val="1"/>
          <w:color w:val="auto"/>
        </w:rPr>
        <w:t>Washington, D.C. 20549</w:t>
      </w:r>
    </w:p>
    <w:p>
      <w:pPr>
        <w:spacing w:after="0" w:line="182"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FORM 6-K</w:t>
      </w:r>
    </w:p>
    <w:p>
      <w:pPr>
        <w:spacing w:after="0" w:line="21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Short Form of Press Release</w:t>
      </w:r>
    </w:p>
    <w:p>
      <w:pPr>
        <w:spacing w:after="0" w:line="225"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Commission File Number 1-11414</w:t>
      </w:r>
    </w:p>
    <w:p>
      <w:pPr>
        <w:spacing w:after="0" w:line="212"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BANCO LATINOAMERICANO DE COMERCIO EXTERIOR, S.A.</w:t>
      </w:r>
    </w:p>
    <w:p>
      <w:pPr>
        <w:spacing w:after="0" w:line="1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(Exact name of Registrant as specified in its Charter)</w:t>
      </w:r>
    </w:p>
    <w:p>
      <w:pPr>
        <w:spacing w:after="0" w:line="196"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FOREIGN TRADE BANK OF LATIN AMERICA, INC.</w:t>
      </w:r>
    </w:p>
    <w:p>
      <w:pPr>
        <w:spacing w:after="0" w:line="1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whether the registrant files or will file annual reports under cover of Form 20-F or Form 40-F.</w:t>
      </w:r>
    </w:p>
    <w:p>
      <w:pPr>
        <w:spacing w:after="0" w:line="204" w:lineRule="exact"/>
        <w:rPr>
          <w:sz w:val="24"/>
          <w:szCs w:val="24"/>
          <w:color w:val="auto"/>
        </w:rPr>
      </w:pPr>
    </w:p>
    <w:p>
      <w:pPr>
        <w:ind w:left="4620"/>
        <w:spacing w:after="0" w:line="207" w:lineRule="exact"/>
        <w:tabs>
          <w:tab w:leader="none" w:pos="580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Form 40-F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101(b)(1):</w:t>
      </w:r>
    </w:p>
    <w:p>
      <w:pPr>
        <w:spacing w:after="0" w:line="216" w:lineRule="exact"/>
        <w:rPr>
          <w:sz w:val="24"/>
          <w:szCs w:val="24"/>
          <w:color w:val="auto"/>
        </w:rPr>
      </w:pPr>
    </w:p>
    <w:p>
      <w:pPr>
        <w:ind w:left="520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101(b)(7):</w:t>
      </w:r>
    </w:p>
    <w:p>
      <w:pPr>
        <w:spacing w:after="0" w:line="216" w:lineRule="exact"/>
        <w:rPr>
          <w:sz w:val="24"/>
          <w:szCs w:val="24"/>
          <w:color w:val="auto"/>
        </w:rPr>
      </w:pPr>
    </w:p>
    <w:p>
      <w:pPr>
        <w:ind w:left="5180"/>
        <w:spacing w:after="0" w:line="207" w:lineRule="exact"/>
        <w:tabs>
          <w:tab w:leader="none" w:pos="580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 xml:space="preserve">No </w:t>
      </w:r>
      <w:r>
        <w:rPr>
          <w:rFonts w:ascii="MS PGothic" w:cs="MS PGothic" w:eastAsia="MS PGothic" w:hAnsi="MS PGothic"/>
          <w:sz w:val="17"/>
          <w:szCs w:val="17"/>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464185</wp:posOffset>
            </wp:positionV>
            <wp:extent cx="7246620" cy="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463"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October 20, 2016</w:t>
      </w:r>
    </w:p>
    <w:p>
      <w:pPr>
        <w:spacing w:after="0" w:line="225"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5720"/>
        <w:spacing w:after="0"/>
        <w:rPr>
          <w:sz w:val="20"/>
          <w:szCs w:val="20"/>
          <w:color w:val="auto"/>
        </w:rPr>
      </w:pPr>
      <w:r>
        <w:rPr>
          <w:rFonts w:ascii="Arial" w:cs="Arial" w:eastAsia="Arial" w:hAnsi="Arial"/>
          <w:sz w:val="18"/>
          <w:szCs w:val="18"/>
          <w:i w:val="1"/>
          <w:iCs w:val="1"/>
          <w:color w:val="auto"/>
        </w:rPr>
        <w:t>(Registrant)</w:t>
      </w:r>
    </w:p>
    <w:p>
      <w:pPr>
        <w:spacing w:after="0" w:line="211" w:lineRule="exact"/>
        <w:rPr>
          <w:sz w:val="20"/>
          <w:szCs w:val="20"/>
          <w:color w:val="auto"/>
        </w:rPr>
      </w:pPr>
    </w:p>
    <w:p>
      <w:pPr>
        <w:ind w:left="6860"/>
        <w:spacing w:after="0"/>
        <w:rPr>
          <w:sz w:val="20"/>
          <w:szCs w:val="20"/>
          <w:color w:val="auto"/>
        </w:rPr>
      </w:pPr>
      <w:r>
        <w:rPr>
          <w:rFonts w:ascii="Arial" w:cs="Arial" w:eastAsia="Arial" w:hAnsi="Arial"/>
          <w:sz w:val="18"/>
          <w:szCs w:val="18"/>
          <w:color w:val="auto"/>
        </w:rPr>
        <w:t>By: /s/ Pierre Dulin</w:t>
      </w:r>
    </w:p>
    <w:p>
      <w:pPr>
        <w:spacing w:after="0" w:line="225" w:lineRule="exact"/>
        <w:rPr>
          <w:sz w:val="20"/>
          <w:szCs w:val="20"/>
          <w:color w:val="auto"/>
        </w:rPr>
      </w:pPr>
    </w:p>
    <w:p>
      <w:pPr>
        <w:ind w:left="6860"/>
        <w:spacing w:after="0"/>
        <w:rPr>
          <w:sz w:val="20"/>
          <w:szCs w:val="20"/>
          <w:color w:val="auto"/>
        </w:rPr>
      </w:pPr>
      <w:r>
        <w:rPr>
          <w:rFonts w:ascii="Arial" w:cs="Arial" w:eastAsia="Arial" w:hAnsi="Arial"/>
          <w:sz w:val="18"/>
          <w:szCs w:val="18"/>
          <w:color w:val="auto"/>
        </w:rPr>
        <w:t>Name: Pierre Dulin</w:t>
      </w:r>
    </w:p>
    <w:p>
      <w:pPr>
        <w:spacing w:after="0" w:line="23" w:lineRule="exact"/>
        <w:rPr>
          <w:sz w:val="20"/>
          <w:szCs w:val="20"/>
          <w:color w:val="auto"/>
        </w:rPr>
      </w:pPr>
    </w:p>
    <w:p>
      <w:pPr>
        <w:ind w:left="6860"/>
        <w:spacing w:after="0"/>
        <w:rPr>
          <w:sz w:val="20"/>
          <w:szCs w:val="20"/>
          <w:color w:val="auto"/>
        </w:rPr>
      </w:pPr>
      <w:r>
        <w:rPr>
          <w:rFonts w:ascii="Arial" w:cs="Arial" w:eastAsia="Arial" w:hAnsi="Arial"/>
          <w:sz w:val="18"/>
          <w:szCs w:val="18"/>
          <w:color w:val="auto"/>
        </w:rPr>
        <w:t>Title:  General Manager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 w:name="page3"/>
    <w:bookmarkEnd w:id="2"/>
    <w:p>
      <w:pPr>
        <w:jc w:val="both"/>
        <w:spacing w:after="0" w:line="282" w:lineRule="auto"/>
        <w:rPr>
          <w:sz w:val="20"/>
          <w:szCs w:val="20"/>
          <w:color w:val="auto"/>
        </w:rPr>
      </w:pPr>
      <w:r>
        <w:rPr>
          <w:rFonts w:ascii="Arial" w:cs="Arial" w:eastAsia="Arial" w:hAnsi="Arial"/>
          <w:sz w:val="18"/>
          <w:szCs w:val="18"/>
          <w:b w:val="1"/>
          <w:bCs w:val="1"/>
          <w:color w:val="auto"/>
        </w:rPr>
        <w:t>BLADEX’S THIRD QUARTER AND YEAR-TO-DATE 2016 PROFIT TOTALED $28.0 MILLION, OR $0.72 PER SHARE, AND $73.7 MILLION, OR $1.89 PER SHARE, RESPECTIVELY. NINE MONTHS 2016 BUSINESS PROFIT REACHED $78.1 MILLION (+6% YoY)</w:t>
      </w:r>
    </w:p>
    <w:p>
      <w:pPr>
        <w:spacing w:after="0" w:line="16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PANAMA CITY, REPUBLIC OF PANAMA, October 19, 2016</w:t>
      </w:r>
    </w:p>
    <w:p>
      <w:pPr>
        <w:spacing w:after="0" w:line="27" w:lineRule="exact"/>
        <w:rPr>
          <w:sz w:val="20"/>
          <w:szCs w:val="20"/>
          <w:color w:val="auto"/>
        </w:rPr>
      </w:pPr>
    </w:p>
    <w:p>
      <w:pPr>
        <w:jc w:val="both"/>
        <w:spacing w:after="0" w:line="255" w:lineRule="auto"/>
        <w:rPr>
          <w:sz w:val="20"/>
          <w:szCs w:val="20"/>
          <w:color w:val="auto"/>
        </w:rPr>
      </w:pPr>
      <w:r>
        <w:rPr>
          <w:rFonts w:ascii="Arial" w:cs="Arial" w:eastAsia="Arial" w:hAnsi="Arial"/>
          <w:sz w:val="18"/>
          <w:szCs w:val="18"/>
          <w:b w:val="1"/>
          <w:bCs w:val="1"/>
          <w:color w:val="auto"/>
        </w:rPr>
        <w:t xml:space="preserve">Banco Latinoamericano de Comercio Exterior, S.A. </w:t>
      </w:r>
      <w:r>
        <w:rPr>
          <w:rFonts w:ascii="Arial" w:cs="Arial" w:eastAsia="Arial" w:hAnsi="Arial"/>
          <w:sz w:val="18"/>
          <w:szCs w:val="18"/>
          <w:color w:val="auto"/>
        </w:rPr>
        <w:t>(NYSE: BLX, “Bladex”, or “the Bank”), a Panama-based multinational bank originally established by</w:t>
      </w:r>
      <w:r>
        <w:rPr>
          <w:rFonts w:ascii="Arial" w:cs="Arial" w:eastAsia="Arial" w:hAnsi="Arial"/>
          <w:sz w:val="18"/>
          <w:szCs w:val="18"/>
          <w:b w:val="1"/>
          <w:bCs w:val="1"/>
          <w:color w:val="auto"/>
        </w:rPr>
        <w:t xml:space="preserve"> </w:t>
      </w:r>
      <w:r>
        <w:rPr>
          <w:rFonts w:ascii="Arial" w:cs="Arial" w:eastAsia="Arial" w:hAnsi="Arial"/>
          <w:sz w:val="18"/>
          <w:szCs w:val="18"/>
          <w:color w:val="auto"/>
        </w:rPr>
        <w:t>the central banks of 23 Latin-American and Caribbean countries to promote foreign trade and economic integration in the Region, today announced its results for the third quarter (“3Q16”) and nine months (“9M16”) ended September 30, 2016.</w:t>
      </w:r>
    </w:p>
    <w:p>
      <w:pPr>
        <w:spacing w:after="0" w:line="190"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consolidated financial information in this document has been prepared in accordance with International Financial Reporting Standards (“IFRS”) as issued by the International Accounting Standards Board (“IASB”). Financial data as of September 30, 2015 (“3Q15” and “9M15”) has also been prepared in accordance with IFRS to allow year-on-year comparisons.</w:t>
      </w:r>
    </w:p>
    <w:p>
      <w:pPr>
        <w:spacing w:after="0" w:line="177"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180" w:type="dxa"/>
            <w:vAlign w:val="bottom"/>
            <w:gridSpan w:val="2"/>
          </w:tcPr>
          <w:p>
            <w:pPr>
              <w:spacing w:after="0"/>
              <w:rPr>
                <w:sz w:val="20"/>
                <w:szCs w:val="20"/>
                <w:color w:val="auto"/>
              </w:rPr>
            </w:pPr>
            <w:r>
              <w:rPr>
                <w:rFonts w:ascii="Arial" w:cs="Arial" w:eastAsia="Arial" w:hAnsi="Arial"/>
                <w:sz w:val="18"/>
                <w:szCs w:val="18"/>
                <w:b w:val="1"/>
                <w:bCs w:val="1"/>
                <w:color w:val="auto"/>
              </w:rPr>
              <w:t>FINANCIAL SNAPSHOT</w:t>
            </w:r>
          </w:p>
        </w:tc>
        <w:tc>
          <w:tcPr>
            <w:tcW w:w="18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160" w:type="dxa"/>
            <w:vAlign w:val="bottom"/>
          </w:tcPr>
          <w:p>
            <w:pPr>
              <w:spacing w:after="0"/>
              <w:rPr>
                <w:sz w:val="20"/>
                <w:szCs w:val="20"/>
                <w:color w:val="auto"/>
              </w:rPr>
            </w:pPr>
          </w:p>
        </w:tc>
      </w:tr>
      <w:tr>
        <w:trPr>
          <w:trHeight w:val="446"/>
        </w:trPr>
        <w:tc>
          <w:tcPr>
            <w:tcW w:w="5180" w:type="dxa"/>
            <w:vAlign w:val="bottom"/>
            <w:gridSpan w:val="2"/>
          </w:tcPr>
          <w:p>
            <w:pPr>
              <w:spacing w:after="0"/>
              <w:rPr>
                <w:sz w:val="20"/>
                <w:szCs w:val="20"/>
                <w:color w:val="auto"/>
              </w:rPr>
            </w:pPr>
            <w:r>
              <w:rPr>
                <w:rFonts w:ascii="Arial" w:cs="Arial" w:eastAsia="Arial" w:hAnsi="Arial"/>
                <w:sz w:val="18"/>
                <w:szCs w:val="18"/>
                <w:color w:val="auto"/>
              </w:rPr>
              <w:t>(US$ million, except percentages and per share amounts)</w:t>
            </w:r>
          </w:p>
        </w:tc>
        <w:tc>
          <w:tcPr>
            <w:tcW w:w="180" w:type="dxa"/>
            <w:vAlign w:val="bottom"/>
          </w:tcPr>
          <w:p>
            <w:pPr>
              <w:spacing w:after="0"/>
              <w:rPr>
                <w:sz w:val="24"/>
                <w:szCs w:val="24"/>
                <w:color w:val="auto"/>
              </w:rPr>
            </w:pPr>
          </w:p>
        </w:tc>
        <w:tc>
          <w:tcPr>
            <w:tcW w:w="102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9M16</w:t>
            </w:r>
          </w:p>
        </w:tc>
        <w:tc>
          <w:tcPr>
            <w:tcW w:w="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08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9M15</w:t>
            </w:r>
          </w:p>
        </w:tc>
        <w:tc>
          <w:tcPr>
            <w:tcW w:w="200" w:type="dxa"/>
            <w:vAlign w:val="bottom"/>
          </w:tcPr>
          <w:p>
            <w:pPr>
              <w:spacing w:after="0"/>
              <w:rPr>
                <w:sz w:val="24"/>
                <w:szCs w:val="24"/>
                <w:color w:val="auto"/>
              </w:rPr>
            </w:pPr>
          </w:p>
        </w:tc>
        <w:tc>
          <w:tcPr>
            <w:tcW w:w="10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3Q16</w:t>
            </w:r>
          </w:p>
        </w:tc>
        <w:tc>
          <w:tcPr>
            <w:tcW w:w="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8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2Q16</w:t>
            </w:r>
          </w:p>
        </w:tc>
        <w:tc>
          <w:tcPr>
            <w:tcW w:w="200" w:type="dxa"/>
            <w:vAlign w:val="bottom"/>
          </w:tcPr>
          <w:p>
            <w:pPr>
              <w:spacing w:after="0"/>
              <w:rPr>
                <w:sz w:val="24"/>
                <w:szCs w:val="24"/>
                <w:color w:val="auto"/>
              </w:rPr>
            </w:pPr>
          </w:p>
        </w:tc>
        <w:tc>
          <w:tcPr>
            <w:tcW w:w="96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3Q15</w:t>
            </w:r>
          </w:p>
        </w:tc>
      </w:tr>
      <w:tr>
        <w:trPr>
          <w:trHeight w:val="210"/>
        </w:trPr>
        <w:tc>
          <w:tcPr>
            <w:tcW w:w="50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Key Income Statement Highlights</w:t>
            </w:r>
          </w:p>
        </w:tc>
        <w:tc>
          <w:tcPr>
            <w:tcW w:w="10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28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r>
      <w:tr>
        <w:trPr>
          <w:trHeight w:val="216"/>
        </w:trPr>
        <w:tc>
          <w:tcPr>
            <w:tcW w:w="5180" w:type="dxa"/>
            <w:vAlign w:val="bottom"/>
            <w:gridSpan w:val="2"/>
          </w:tcPr>
          <w:p>
            <w:pPr>
              <w:ind w:left="180"/>
              <w:spacing w:after="0"/>
              <w:rPr>
                <w:sz w:val="20"/>
                <w:szCs w:val="20"/>
                <w:color w:val="auto"/>
              </w:rPr>
            </w:pPr>
            <w:r>
              <w:rPr>
                <w:rFonts w:ascii="Arial" w:cs="Arial" w:eastAsia="Arial" w:hAnsi="Arial"/>
                <w:sz w:val="18"/>
                <w:szCs w:val="18"/>
                <w:color w:val="auto"/>
              </w:rPr>
              <w:t>Total income</w:t>
            </w:r>
          </w:p>
        </w:tc>
        <w:tc>
          <w:tcPr>
            <w:tcW w:w="18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124.8</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800" w:type="dxa"/>
            <w:vAlign w:val="bottom"/>
          </w:tcPr>
          <w:p>
            <w:pPr>
              <w:jc w:val="right"/>
              <w:spacing w:after="0"/>
              <w:rPr>
                <w:sz w:val="20"/>
                <w:szCs w:val="20"/>
                <w:color w:val="auto"/>
              </w:rPr>
            </w:pPr>
            <w:r>
              <w:rPr>
                <w:rFonts w:ascii="Arial" w:cs="Arial" w:eastAsia="Arial" w:hAnsi="Arial"/>
                <w:sz w:val="18"/>
                <w:szCs w:val="18"/>
                <w:color w:val="auto"/>
              </w:rPr>
              <w:t>130.3</w:t>
            </w:r>
          </w:p>
        </w:tc>
        <w:tc>
          <w:tcPr>
            <w:tcW w:w="280" w:type="dxa"/>
            <w:vAlign w:val="bottom"/>
          </w:tcPr>
          <w:p>
            <w:pPr>
              <w:spacing w:after="0"/>
              <w:rPr>
                <w:sz w:val="18"/>
                <w:szCs w:val="18"/>
                <w:color w:val="auto"/>
              </w:rPr>
            </w:pPr>
          </w:p>
        </w:tc>
        <w:tc>
          <w:tcPr>
            <w:tcW w:w="200" w:type="dxa"/>
            <w:vAlign w:val="bottom"/>
          </w:tcPr>
          <w:p>
            <w:pPr>
              <w:jc w:val="right"/>
              <w:ind w:right="45"/>
              <w:spacing w:after="0"/>
              <w:rPr>
                <w:sz w:val="20"/>
                <w:szCs w:val="20"/>
                <w:color w:val="auto"/>
              </w:rPr>
            </w:pPr>
            <w:r>
              <w:rPr>
                <w:rFonts w:ascii="Arial" w:cs="Arial" w:eastAsia="Arial" w:hAnsi="Arial"/>
                <w:sz w:val="15"/>
                <w:szCs w:val="15"/>
                <w:color w:val="auto"/>
                <w:w w:val="71"/>
              </w:rPr>
              <w:t>$</w:t>
            </w:r>
          </w:p>
        </w:tc>
        <w:tc>
          <w:tcPr>
            <w:tcW w:w="1000" w:type="dxa"/>
            <w:vAlign w:val="bottom"/>
            <w:gridSpan w:val="2"/>
          </w:tcPr>
          <w:p>
            <w:pPr>
              <w:jc w:val="right"/>
              <w:ind w:right="200"/>
              <w:spacing w:after="0"/>
              <w:rPr>
                <w:sz w:val="20"/>
                <w:szCs w:val="20"/>
                <w:color w:val="auto"/>
              </w:rPr>
            </w:pPr>
            <w:r>
              <w:rPr>
                <w:rFonts w:ascii="Arial" w:cs="Arial" w:eastAsia="Arial" w:hAnsi="Arial"/>
                <w:sz w:val="18"/>
                <w:szCs w:val="18"/>
                <w:color w:val="auto"/>
              </w:rPr>
              <w:t>43.4</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80"/>
              <w:spacing w:after="0"/>
              <w:rPr>
                <w:sz w:val="20"/>
                <w:szCs w:val="20"/>
                <w:color w:val="auto"/>
              </w:rPr>
            </w:pPr>
            <w:r>
              <w:rPr>
                <w:rFonts w:ascii="Arial" w:cs="Arial" w:eastAsia="Arial" w:hAnsi="Arial"/>
                <w:sz w:val="18"/>
                <w:szCs w:val="18"/>
                <w:color w:val="auto"/>
              </w:rPr>
              <w:t>44.4</w:t>
            </w:r>
          </w:p>
        </w:tc>
        <w:tc>
          <w:tcPr>
            <w:tcW w:w="200" w:type="dxa"/>
            <w:vAlign w:val="bottom"/>
          </w:tcPr>
          <w:p>
            <w:pPr>
              <w:jc w:val="right"/>
              <w:ind w:right="45"/>
              <w:spacing w:after="0"/>
              <w:rPr>
                <w:sz w:val="20"/>
                <w:szCs w:val="20"/>
                <w:color w:val="auto"/>
              </w:rPr>
            </w:pPr>
            <w:r>
              <w:rPr>
                <w:rFonts w:ascii="Arial" w:cs="Arial" w:eastAsia="Arial" w:hAnsi="Arial"/>
                <w:sz w:val="15"/>
                <w:szCs w:val="15"/>
                <w:color w:val="auto"/>
                <w:w w:val="71"/>
              </w:rPr>
              <w:t>$</w:t>
            </w:r>
          </w:p>
        </w:tc>
        <w:tc>
          <w:tcPr>
            <w:tcW w:w="960" w:type="dxa"/>
            <w:vAlign w:val="bottom"/>
            <w:gridSpan w:val="2"/>
          </w:tcPr>
          <w:p>
            <w:pPr>
              <w:jc w:val="right"/>
              <w:ind w:right="160"/>
              <w:spacing w:after="0"/>
              <w:rPr>
                <w:sz w:val="20"/>
                <w:szCs w:val="20"/>
                <w:color w:val="auto"/>
              </w:rPr>
            </w:pPr>
            <w:r>
              <w:rPr>
                <w:rFonts w:ascii="Arial" w:cs="Arial" w:eastAsia="Arial" w:hAnsi="Arial"/>
                <w:sz w:val="18"/>
                <w:szCs w:val="18"/>
                <w:color w:val="auto"/>
              </w:rPr>
              <w:t>52.0</w:t>
            </w:r>
          </w:p>
        </w:tc>
      </w:tr>
      <w:tr>
        <w:trPr>
          <w:trHeight w:val="202"/>
        </w:trPr>
        <w:tc>
          <w:tcPr>
            <w:tcW w:w="5180" w:type="dxa"/>
            <w:vAlign w:val="bottom"/>
            <w:gridSpan w:val="2"/>
            <w:shd w:val="clear" w:color="auto" w:fill="CCEEFF"/>
          </w:tcPr>
          <w:p>
            <w:pPr>
              <w:ind w:left="180"/>
              <w:spacing w:after="0" w:line="201" w:lineRule="exact"/>
              <w:rPr>
                <w:sz w:val="20"/>
                <w:szCs w:val="20"/>
                <w:color w:val="auto"/>
              </w:rPr>
            </w:pPr>
            <w:r>
              <w:rPr>
                <w:rFonts w:ascii="Arial" w:cs="Arial" w:eastAsia="Arial" w:hAnsi="Arial"/>
                <w:sz w:val="18"/>
                <w:szCs w:val="18"/>
                <w:color w:val="auto"/>
                <w:w w:val="94"/>
              </w:rPr>
              <w:t>Impairment loss from expected credit losses on loans at amortized</w:t>
            </w:r>
          </w:p>
        </w:tc>
        <w:tc>
          <w:tcPr>
            <w:tcW w:w="18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r>
      <w:tr>
        <w:trPr>
          <w:trHeight w:val="230"/>
        </w:trPr>
        <w:tc>
          <w:tcPr>
            <w:tcW w:w="518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cost and off-balance sheet instruments</w:t>
            </w:r>
          </w:p>
        </w:tc>
        <w:tc>
          <w:tcPr>
            <w:tcW w:w="1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17.1</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10.3</w:t>
            </w:r>
          </w:p>
        </w:tc>
        <w:tc>
          <w:tcPr>
            <w:tcW w:w="200" w:type="dxa"/>
            <w:vAlign w:val="bottom"/>
            <w:shd w:val="clear" w:color="auto" w:fill="CCEEFF"/>
          </w:tcPr>
          <w:p>
            <w:pPr>
              <w:jc w:val="right"/>
              <w:ind w:right="45"/>
              <w:spacing w:after="0"/>
              <w:rPr>
                <w:sz w:val="20"/>
                <w:szCs w:val="20"/>
                <w:color w:val="auto"/>
              </w:rPr>
            </w:pPr>
            <w:r>
              <w:rPr>
                <w:rFonts w:ascii="Arial" w:cs="Arial" w:eastAsia="Arial" w:hAnsi="Arial"/>
                <w:sz w:val="15"/>
                <w:szCs w:val="15"/>
                <w:color w:val="auto"/>
                <w:w w:val="71"/>
              </w:rPr>
              <w:t>$</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4.4</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11.5</w:t>
            </w:r>
          </w:p>
        </w:tc>
        <w:tc>
          <w:tcPr>
            <w:tcW w:w="280" w:type="dxa"/>
            <w:vAlign w:val="bottom"/>
            <w:shd w:val="clear" w:color="auto" w:fill="CCEEFF"/>
          </w:tcPr>
          <w:p>
            <w:pPr>
              <w:spacing w:after="0"/>
              <w:rPr>
                <w:sz w:val="20"/>
                <w:szCs w:val="20"/>
                <w:color w:val="auto"/>
              </w:rPr>
            </w:pPr>
          </w:p>
        </w:tc>
        <w:tc>
          <w:tcPr>
            <w:tcW w:w="200" w:type="dxa"/>
            <w:vAlign w:val="bottom"/>
            <w:shd w:val="clear" w:color="auto" w:fill="CCEEFF"/>
          </w:tcPr>
          <w:p>
            <w:pPr>
              <w:jc w:val="right"/>
              <w:ind w:right="45"/>
              <w:spacing w:after="0"/>
              <w:rPr>
                <w:sz w:val="20"/>
                <w:szCs w:val="20"/>
                <w:color w:val="auto"/>
              </w:rPr>
            </w:pPr>
            <w:r>
              <w:rPr>
                <w:rFonts w:ascii="Arial" w:cs="Arial" w:eastAsia="Arial" w:hAnsi="Arial"/>
                <w:sz w:val="15"/>
                <w:szCs w:val="15"/>
                <w:color w:val="auto"/>
                <w:w w:val="71"/>
              </w:rPr>
              <w:t>$</w:t>
            </w: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2.0</w:t>
            </w:r>
          </w:p>
        </w:tc>
      </w:tr>
      <w:tr>
        <w:trPr>
          <w:trHeight w:val="202"/>
        </w:trPr>
        <w:tc>
          <w:tcPr>
            <w:tcW w:w="5180" w:type="dxa"/>
            <w:vAlign w:val="bottom"/>
            <w:gridSpan w:val="2"/>
          </w:tcPr>
          <w:p>
            <w:pPr>
              <w:ind w:left="180"/>
              <w:spacing w:after="0" w:line="201" w:lineRule="exact"/>
              <w:rPr>
                <w:sz w:val="20"/>
                <w:szCs w:val="20"/>
                <w:color w:val="auto"/>
              </w:rPr>
            </w:pPr>
            <w:r>
              <w:rPr>
                <w:rFonts w:ascii="Arial" w:cs="Arial" w:eastAsia="Arial" w:hAnsi="Arial"/>
                <w:sz w:val="18"/>
                <w:szCs w:val="18"/>
                <w:color w:val="auto"/>
                <w:w w:val="95"/>
              </w:rPr>
              <w:t>Impairment loss (gain) from expected credit losses on investment</w:t>
            </w:r>
          </w:p>
        </w:tc>
        <w:tc>
          <w:tcPr>
            <w:tcW w:w="18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160" w:type="dxa"/>
            <w:vAlign w:val="bottom"/>
          </w:tcPr>
          <w:p>
            <w:pPr>
              <w:spacing w:after="0"/>
              <w:rPr>
                <w:sz w:val="17"/>
                <w:szCs w:val="17"/>
                <w:color w:val="auto"/>
              </w:rPr>
            </w:pPr>
          </w:p>
        </w:tc>
      </w:tr>
      <w:tr>
        <w:trPr>
          <w:trHeight w:val="230"/>
        </w:trPr>
        <w:tc>
          <w:tcPr>
            <w:tcW w:w="5180" w:type="dxa"/>
            <w:vAlign w:val="bottom"/>
            <w:gridSpan w:val="2"/>
          </w:tcPr>
          <w:p>
            <w:pPr>
              <w:ind w:left="180"/>
              <w:spacing w:after="0"/>
              <w:rPr>
                <w:sz w:val="20"/>
                <w:szCs w:val="20"/>
                <w:color w:val="auto"/>
              </w:rPr>
            </w:pPr>
            <w:r>
              <w:rPr>
                <w:rFonts w:ascii="Arial" w:cs="Arial" w:eastAsia="Arial" w:hAnsi="Arial"/>
                <w:sz w:val="18"/>
                <w:szCs w:val="18"/>
                <w:color w:val="auto"/>
              </w:rPr>
              <w:t>securities</w:t>
            </w:r>
          </w:p>
        </w:tc>
        <w:tc>
          <w:tcPr>
            <w:tcW w:w="18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0.3</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800" w:type="dxa"/>
            <w:vAlign w:val="bottom"/>
          </w:tcPr>
          <w:p>
            <w:pPr>
              <w:jc w:val="right"/>
              <w:spacing w:after="0"/>
              <w:rPr>
                <w:sz w:val="20"/>
                <w:szCs w:val="20"/>
                <w:color w:val="auto"/>
              </w:rPr>
            </w:pPr>
            <w:r>
              <w:rPr>
                <w:rFonts w:ascii="Arial" w:cs="Arial" w:eastAsia="Arial" w:hAnsi="Arial"/>
                <w:sz w:val="18"/>
                <w:szCs w:val="18"/>
                <w:color w:val="auto"/>
              </w:rPr>
              <w:t>0.5</w:t>
            </w:r>
          </w:p>
        </w:tc>
        <w:tc>
          <w:tcPr>
            <w:tcW w:w="280" w:type="dxa"/>
            <w:vAlign w:val="bottom"/>
          </w:tcPr>
          <w:p>
            <w:pPr>
              <w:spacing w:after="0"/>
              <w:rPr>
                <w:sz w:val="20"/>
                <w:szCs w:val="20"/>
                <w:color w:val="auto"/>
              </w:rPr>
            </w:pPr>
          </w:p>
        </w:tc>
        <w:tc>
          <w:tcPr>
            <w:tcW w:w="200" w:type="dxa"/>
            <w:vAlign w:val="bottom"/>
          </w:tcPr>
          <w:p>
            <w:pPr>
              <w:jc w:val="right"/>
              <w:ind w:right="45"/>
              <w:spacing w:after="0"/>
              <w:rPr>
                <w:sz w:val="20"/>
                <w:szCs w:val="20"/>
                <w:color w:val="auto"/>
              </w:rPr>
            </w:pPr>
            <w:r>
              <w:rPr>
                <w:rFonts w:ascii="Arial" w:cs="Arial" w:eastAsia="Arial" w:hAnsi="Arial"/>
                <w:sz w:val="15"/>
                <w:szCs w:val="15"/>
                <w:color w:val="auto"/>
                <w:w w:val="71"/>
              </w:rPr>
              <w:t>$</w:t>
            </w:r>
          </w:p>
        </w:tc>
        <w:tc>
          <w:tcPr>
            <w:tcW w:w="1000" w:type="dxa"/>
            <w:vAlign w:val="bottom"/>
            <w:gridSpan w:val="2"/>
          </w:tcPr>
          <w:p>
            <w:pPr>
              <w:jc w:val="right"/>
              <w:ind w:right="140"/>
              <w:spacing w:after="0"/>
              <w:rPr>
                <w:sz w:val="20"/>
                <w:szCs w:val="20"/>
                <w:color w:val="auto"/>
              </w:rPr>
            </w:pPr>
            <w:r>
              <w:rPr>
                <w:rFonts w:ascii="Arial" w:cs="Arial" w:eastAsia="Arial" w:hAnsi="Arial"/>
                <w:sz w:val="18"/>
                <w:szCs w:val="18"/>
                <w:color w:val="auto"/>
              </w:rPr>
              <w:t>(0.2)</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800" w:type="dxa"/>
            <w:vAlign w:val="bottom"/>
          </w:tcPr>
          <w:p>
            <w:pPr>
              <w:jc w:val="right"/>
              <w:spacing w:after="0"/>
              <w:rPr>
                <w:sz w:val="20"/>
                <w:szCs w:val="20"/>
                <w:color w:val="auto"/>
              </w:rPr>
            </w:pPr>
            <w:r>
              <w:rPr>
                <w:rFonts w:ascii="Arial" w:cs="Arial" w:eastAsia="Arial" w:hAnsi="Arial"/>
                <w:sz w:val="18"/>
                <w:szCs w:val="18"/>
                <w:color w:val="auto"/>
              </w:rPr>
              <w:t>0.5</w:t>
            </w:r>
          </w:p>
        </w:tc>
        <w:tc>
          <w:tcPr>
            <w:tcW w:w="280" w:type="dxa"/>
            <w:vAlign w:val="bottom"/>
          </w:tcPr>
          <w:p>
            <w:pPr>
              <w:spacing w:after="0"/>
              <w:rPr>
                <w:sz w:val="20"/>
                <w:szCs w:val="20"/>
                <w:color w:val="auto"/>
              </w:rPr>
            </w:pPr>
          </w:p>
        </w:tc>
        <w:tc>
          <w:tcPr>
            <w:tcW w:w="200" w:type="dxa"/>
            <w:vAlign w:val="bottom"/>
          </w:tcPr>
          <w:p>
            <w:pPr>
              <w:jc w:val="right"/>
              <w:ind w:right="45"/>
              <w:spacing w:after="0"/>
              <w:rPr>
                <w:sz w:val="20"/>
                <w:szCs w:val="20"/>
                <w:color w:val="auto"/>
              </w:rPr>
            </w:pPr>
            <w:r>
              <w:rPr>
                <w:rFonts w:ascii="Arial" w:cs="Arial" w:eastAsia="Arial" w:hAnsi="Arial"/>
                <w:sz w:val="15"/>
                <w:szCs w:val="15"/>
                <w:color w:val="auto"/>
                <w:w w:val="71"/>
              </w:rPr>
              <w:t>$</w:t>
            </w:r>
          </w:p>
        </w:tc>
        <w:tc>
          <w:tcPr>
            <w:tcW w:w="960" w:type="dxa"/>
            <w:vAlign w:val="bottom"/>
            <w:gridSpan w:val="2"/>
          </w:tcPr>
          <w:p>
            <w:pPr>
              <w:jc w:val="right"/>
              <w:ind w:right="100"/>
              <w:spacing w:after="0"/>
              <w:rPr>
                <w:sz w:val="20"/>
                <w:szCs w:val="20"/>
                <w:color w:val="auto"/>
              </w:rPr>
            </w:pPr>
            <w:r>
              <w:rPr>
                <w:rFonts w:ascii="Arial" w:cs="Arial" w:eastAsia="Arial" w:hAnsi="Arial"/>
                <w:sz w:val="18"/>
                <w:szCs w:val="18"/>
                <w:color w:val="auto"/>
              </w:rPr>
              <w:t>(0.3)</w:t>
            </w:r>
          </w:p>
        </w:tc>
      </w:tr>
      <w:tr>
        <w:trPr>
          <w:trHeight w:val="257"/>
        </w:trPr>
        <w:tc>
          <w:tcPr>
            <w:tcW w:w="5180" w:type="dxa"/>
            <w:vAlign w:val="bottom"/>
            <w:gridSpan w:val="2"/>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Operating expenses </w:t>
            </w:r>
            <w:r>
              <w:rPr>
                <w:rFonts w:ascii="Arial" w:cs="Arial" w:eastAsia="Arial" w:hAnsi="Arial"/>
                <w:sz w:val="29"/>
                <w:szCs w:val="29"/>
                <w:color w:val="auto"/>
                <w:vertAlign w:val="superscript"/>
              </w:rPr>
              <w:t>(1)</w:t>
            </w:r>
          </w:p>
        </w:tc>
        <w:tc>
          <w:tcPr>
            <w:tcW w:w="1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33.7</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38.7</w:t>
            </w:r>
          </w:p>
        </w:tc>
        <w:tc>
          <w:tcPr>
            <w:tcW w:w="200" w:type="dxa"/>
            <w:vAlign w:val="bottom"/>
            <w:shd w:val="clear" w:color="auto" w:fill="CCEEFF"/>
          </w:tcPr>
          <w:p>
            <w:pPr>
              <w:jc w:val="right"/>
              <w:ind w:right="45"/>
              <w:spacing w:after="0"/>
              <w:rPr>
                <w:sz w:val="20"/>
                <w:szCs w:val="20"/>
                <w:color w:val="auto"/>
              </w:rPr>
            </w:pPr>
            <w:r>
              <w:rPr>
                <w:rFonts w:ascii="Arial" w:cs="Arial" w:eastAsia="Arial" w:hAnsi="Arial"/>
                <w:sz w:val="15"/>
                <w:szCs w:val="15"/>
                <w:color w:val="auto"/>
                <w:w w:val="71"/>
              </w:rPr>
              <w:t>$</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11.2</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10.1</w:t>
            </w:r>
          </w:p>
        </w:tc>
        <w:tc>
          <w:tcPr>
            <w:tcW w:w="200" w:type="dxa"/>
            <w:vAlign w:val="bottom"/>
            <w:shd w:val="clear" w:color="auto" w:fill="CCEEFF"/>
          </w:tcPr>
          <w:p>
            <w:pPr>
              <w:jc w:val="right"/>
              <w:ind w:right="45"/>
              <w:spacing w:after="0"/>
              <w:rPr>
                <w:sz w:val="20"/>
                <w:szCs w:val="20"/>
                <w:color w:val="auto"/>
              </w:rPr>
            </w:pPr>
            <w:r>
              <w:rPr>
                <w:rFonts w:ascii="Arial" w:cs="Arial" w:eastAsia="Arial" w:hAnsi="Arial"/>
                <w:sz w:val="15"/>
                <w:szCs w:val="15"/>
                <w:color w:val="auto"/>
                <w:w w:val="71"/>
              </w:rPr>
              <w:t>$</w:t>
            </w: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12.9</w:t>
            </w:r>
          </w:p>
        </w:tc>
      </w:tr>
      <w:tr>
        <w:trPr>
          <w:trHeight w:val="257"/>
        </w:trPr>
        <w:tc>
          <w:tcPr>
            <w:tcW w:w="5180" w:type="dxa"/>
            <w:vAlign w:val="bottom"/>
            <w:gridSpan w:val="2"/>
          </w:tcPr>
          <w:p>
            <w:pPr>
              <w:ind w:left="180"/>
              <w:spacing w:after="0" w:line="256" w:lineRule="exact"/>
              <w:rPr>
                <w:sz w:val="20"/>
                <w:szCs w:val="20"/>
                <w:color w:val="auto"/>
              </w:rPr>
            </w:pPr>
            <w:r>
              <w:rPr>
                <w:rFonts w:ascii="Arial" w:cs="Arial" w:eastAsia="Arial" w:hAnsi="Arial"/>
                <w:sz w:val="18"/>
                <w:szCs w:val="18"/>
                <w:color w:val="auto"/>
              </w:rPr>
              <w:t xml:space="preserve">Business Profit </w:t>
            </w:r>
            <w:r>
              <w:rPr>
                <w:rFonts w:ascii="Arial" w:cs="Arial" w:eastAsia="Arial" w:hAnsi="Arial"/>
                <w:sz w:val="29"/>
                <w:szCs w:val="29"/>
                <w:color w:val="auto"/>
                <w:vertAlign w:val="superscript"/>
              </w:rPr>
              <w:t>(2)</w:t>
            </w:r>
          </w:p>
        </w:tc>
        <w:tc>
          <w:tcPr>
            <w:tcW w:w="18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78.1</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80"/>
              <w:spacing w:after="0"/>
              <w:rPr>
                <w:sz w:val="20"/>
                <w:szCs w:val="20"/>
                <w:color w:val="auto"/>
              </w:rPr>
            </w:pPr>
            <w:r>
              <w:rPr>
                <w:rFonts w:ascii="Arial" w:cs="Arial" w:eastAsia="Arial" w:hAnsi="Arial"/>
                <w:sz w:val="18"/>
                <w:szCs w:val="18"/>
                <w:color w:val="auto"/>
              </w:rPr>
              <w:t>73.7</w:t>
            </w:r>
          </w:p>
        </w:tc>
        <w:tc>
          <w:tcPr>
            <w:tcW w:w="200" w:type="dxa"/>
            <w:vAlign w:val="bottom"/>
          </w:tcPr>
          <w:p>
            <w:pPr>
              <w:jc w:val="right"/>
              <w:ind w:right="45"/>
              <w:spacing w:after="0"/>
              <w:rPr>
                <w:sz w:val="20"/>
                <w:szCs w:val="20"/>
                <w:color w:val="auto"/>
              </w:rPr>
            </w:pPr>
            <w:r>
              <w:rPr>
                <w:rFonts w:ascii="Arial" w:cs="Arial" w:eastAsia="Arial" w:hAnsi="Arial"/>
                <w:sz w:val="15"/>
                <w:szCs w:val="15"/>
                <w:color w:val="auto"/>
                <w:w w:val="71"/>
              </w:rPr>
              <w:t>$</w:t>
            </w:r>
          </w:p>
        </w:tc>
        <w:tc>
          <w:tcPr>
            <w:tcW w:w="1000" w:type="dxa"/>
            <w:vAlign w:val="bottom"/>
            <w:gridSpan w:val="2"/>
          </w:tcPr>
          <w:p>
            <w:pPr>
              <w:jc w:val="right"/>
              <w:ind w:right="200"/>
              <w:spacing w:after="0"/>
              <w:rPr>
                <w:sz w:val="20"/>
                <w:szCs w:val="20"/>
                <w:color w:val="auto"/>
              </w:rPr>
            </w:pPr>
            <w:r>
              <w:rPr>
                <w:rFonts w:ascii="Arial" w:cs="Arial" w:eastAsia="Arial" w:hAnsi="Arial"/>
                <w:sz w:val="18"/>
                <w:szCs w:val="18"/>
                <w:color w:val="auto"/>
              </w:rPr>
              <w:t>28.0</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80"/>
              <w:spacing w:after="0"/>
              <w:rPr>
                <w:sz w:val="20"/>
                <w:szCs w:val="20"/>
                <w:color w:val="auto"/>
              </w:rPr>
            </w:pPr>
            <w:r>
              <w:rPr>
                <w:rFonts w:ascii="Arial" w:cs="Arial" w:eastAsia="Arial" w:hAnsi="Arial"/>
                <w:sz w:val="18"/>
                <w:szCs w:val="18"/>
                <w:color w:val="auto"/>
              </w:rPr>
              <w:t>22.1</w:t>
            </w:r>
          </w:p>
        </w:tc>
        <w:tc>
          <w:tcPr>
            <w:tcW w:w="200" w:type="dxa"/>
            <w:vAlign w:val="bottom"/>
          </w:tcPr>
          <w:p>
            <w:pPr>
              <w:jc w:val="right"/>
              <w:ind w:right="45"/>
              <w:spacing w:after="0"/>
              <w:rPr>
                <w:sz w:val="20"/>
                <w:szCs w:val="20"/>
                <w:color w:val="auto"/>
              </w:rPr>
            </w:pPr>
            <w:r>
              <w:rPr>
                <w:rFonts w:ascii="Arial" w:cs="Arial" w:eastAsia="Arial" w:hAnsi="Arial"/>
                <w:sz w:val="15"/>
                <w:szCs w:val="15"/>
                <w:color w:val="auto"/>
                <w:w w:val="71"/>
              </w:rPr>
              <w:t>$</w:t>
            </w:r>
          </w:p>
        </w:tc>
        <w:tc>
          <w:tcPr>
            <w:tcW w:w="960" w:type="dxa"/>
            <w:vAlign w:val="bottom"/>
            <w:gridSpan w:val="2"/>
          </w:tcPr>
          <w:p>
            <w:pPr>
              <w:jc w:val="right"/>
              <w:ind w:right="160"/>
              <w:spacing w:after="0"/>
              <w:rPr>
                <w:sz w:val="20"/>
                <w:szCs w:val="20"/>
                <w:color w:val="auto"/>
              </w:rPr>
            </w:pPr>
            <w:r>
              <w:rPr>
                <w:rFonts w:ascii="Arial" w:cs="Arial" w:eastAsia="Arial" w:hAnsi="Arial"/>
                <w:sz w:val="18"/>
                <w:szCs w:val="18"/>
                <w:color w:val="auto"/>
              </w:rPr>
              <w:t>30.3</w:t>
            </w:r>
          </w:p>
        </w:tc>
      </w:tr>
      <w:tr>
        <w:trPr>
          <w:trHeight w:val="257"/>
        </w:trPr>
        <w:tc>
          <w:tcPr>
            <w:tcW w:w="5180" w:type="dxa"/>
            <w:vAlign w:val="bottom"/>
            <w:gridSpan w:val="2"/>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Non-Core Items </w:t>
            </w:r>
            <w:r>
              <w:rPr>
                <w:rFonts w:ascii="Arial" w:cs="Arial" w:eastAsia="Arial" w:hAnsi="Arial"/>
                <w:sz w:val="29"/>
                <w:szCs w:val="29"/>
                <w:color w:val="auto"/>
                <w:vertAlign w:val="superscript"/>
              </w:rPr>
              <w:t>(3)</w:t>
            </w:r>
          </w:p>
        </w:tc>
        <w:tc>
          <w:tcPr>
            <w:tcW w:w="1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10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(4.4)</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7.0</w:t>
            </w:r>
          </w:p>
        </w:tc>
        <w:tc>
          <w:tcPr>
            <w:tcW w:w="280" w:type="dxa"/>
            <w:vAlign w:val="bottom"/>
            <w:shd w:val="clear" w:color="auto" w:fill="CCEEFF"/>
          </w:tcPr>
          <w:p>
            <w:pPr>
              <w:spacing w:after="0"/>
              <w:rPr>
                <w:sz w:val="22"/>
                <w:szCs w:val="22"/>
                <w:color w:val="auto"/>
              </w:rPr>
            </w:pPr>
          </w:p>
        </w:tc>
        <w:tc>
          <w:tcPr>
            <w:tcW w:w="200" w:type="dxa"/>
            <w:vAlign w:val="bottom"/>
            <w:shd w:val="clear" w:color="auto" w:fill="CCEEFF"/>
          </w:tcPr>
          <w:p>
            <w:pPr>
              <w:jc w:val="right"/>
              <w:ind w:right="45"/>
              <w:spacing w:after="0"/>
              <w:rPr>
                <w:sz w:val="20"/>
                <w:szCs w:val="20"/>
                <w:color w:val="auto"/>
              </w:rPr>
            </w:pPr>
            <w:r>
              <w:rPr>
                <w:rFonts w:ascii="Arial" w:cs="Arial" w:eastAsia="Arial" w:hAnsi="Arial"/>
                <w:sz w:val="15"/>
                <w:szCs w:val="15"/>
                <w:color w:val="auto"/>
                <w:w w:val="71"/>
              </w:rPr>
              <w:t>$</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0.0</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0.2</w:t>
            </w:r>
          </w:p>
        </w:tc>
        <w:tc>
          <w:tcPr>
            <w:tcW w:w="280" w:type="dxa"/>
            <w:vAlign w:val="bottom"/>
            <w:shd w:val="clear" w:color="auto" w:fill="CCEEFF"/>
          </w:tcPr>
          <w:p>
            <w:pPr>
              <w:spacing w:after="0"/>
              <w:rPr>
                <w:sz w:val="22"/>
                <w:szCs w:val="22"/>
                <w:color w:val="auto"/>
              </w:rPr>
            </w:pPr>
          </w:p>
        </w:tc>
        <w:tc>
          <w:tcPr>
            <w:tcW w:w="200" w:type="dxa"/>
            <w:vAlign w:val="bottom"/>
            <w:shd w:val="clear" w:color="auto" w:fill="CCEEFF"/>
          </w:tcPr>
          <w:p>
            <w:pPr>
              <w:jc w:val="right"/>
              <w:ind w:right="45"/>
              <w:spacing w:after="0"/>
              <w:rPr>
                <w:sz w:val="20"/>
                <w:szCs w:val="20"/>
                <w:color w:val="auto"/>
              </w:rPr>
            </w:pPr>
            <w:r>
              <w:rPr>
                <w:rFonts w:ascii="Arial" w:cs="Arial" w:eastAsia="Arial" w:hAnsi="Arial"/>
                <w:sz w:val="15"/>
                <w:szCs w:val="15"/>
                <w:color w:val="auto"/>
                <w:w w:val="71"/>
              </w:rPr>
              <w:t>$</w:t>
            </w: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7.1</w:t>
            </w:r>
          </w:p>
        </w:tc>
      </w:tr>
      <w:tr>
        <w:trPr>
          <w:trHeight w:val="216"/>
        </w:trPr>
        <w:tc>
          <w:tcPr>
            <w:tcW w:w="5180" w:type="dxa"/>
            <w:vAlign w:val="bottom"/>
            <w:gridSpan w:val="2"/>
          </w:tcPr>
          <w:p>
            <w:pPr>
              <w:ind w:left="180"/>
              <w:spacing w:after="0"/>
              <w:rPr>
                <w:sz w:val="20"/>
                <w:szCs w:val="20"/>
                <w:color w:val="auto"/>
              </w:rPr>
            </w:pPr>
            <w:r>
              <w:rPr>
                <w:rFonts w:ascii="Arial" w:cs="Arial" w:eastAsia="Arial" w:hAnsi="Arial"/>
                <w:sz w:val="18"/>
                <w:szCs w:val="18"/>
                <w:color w:val="auto"/>
              </w:rPr>
              <w:t>Profit for the period</w:t>
            </w:r>
          </w:p>
        </w:tc>
        <w:tc>
          <w:tcPr>
            <w:tcW w:w="18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73.7</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80"/>
              <w:spacing w:after="0"/>
              <w:rPr>
                <w:sz w:val="20"/>
                <w:szCs w:val="20"/>
                <w:color w:val="auto"/>
              </w:rPr>
            </w:pPr>
            <w:r>
              <w:rPr>
                <w:rFonts w:ascii="Arial" w:cs="Arial" w:eastAsia="Arial" w:hAnsi="Arial"/>
                <w:sz w:val="18"/>
                <w:szCs w:val="18"/>
                <w:color w:val="auto"/>
              </w:rPr>
              <w:t>80.8</w:t>
            </w:r>
          </w:p>
        </w:tc>
        <w:tc>
          <w:tcPr>
            <w:tcW w:w="200" w:type="dxa"/>
            <w:vAlign w:val="bottom"/>
          </w:tcPr>
          <w:p>
            <w:pPr>
              <w:jc w:val="right"/>
              <w:ind w:right="45"/>
              <w:spacing w:after="0"/>
              <w:rPr>
                <w:sz w:val="20"/>
                <w:szCs w:val="20"/>
                <w:color w:val="auto"/>
              </w:rPr>
            </w:pPr>
            <w:r>
              <w:rPr>
                <w:rFonts w:ascii="Arial" w:cs="Arial" w:eastAsia="Arial" w:hAnsi="Arial"/>
                <w:sz w:val="15"/>
                <w:szCs w:val="15"/>
                <w:color w:val="auto"/>
                <w:w w:val="71"/>
              </w:rPr>
              <w:t>$</w:t>
            </w:r>
          </w:p>
        </w:tc>
        <w:tc>
          <w:tcPr>
            <w:tcW w:w="1000" w:type="dxa"/>
            <w:vAlign w:val="bottom"/>
            <w:gridSpan w:val="2"/>
          </w:tcPr>
          <w:p>
            <w:pPr>
              <w:jc w:val="right"/>
              <w:ind w:right="200"/>
              <w:spacing w:after="0"/>
              <w:rPr>
                <w:sz w:val="20"/>
                <w:szCs w:val="20"/>
                <w:color w:val="auto"/>
              </w:rPr>
            </w:pPr>
            <w:r>
              <w:rPr>
                <w:rFonts w:ascii="Arial" w:cs="Arial" w:eastAsia="Arial" w:hAnsi="Arial"/>
                <w:sz w:val="18"/>
                <w:szCs w:val="18"/>
                <w:color w:val="auto"/>
              </w:rPr>
              <w:t>28.0</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80"/>
              <w:spacing w:after="0"/>
              <w:rPr>
                <w:sz w:val="20"/>
                <w:szCs w:val="20"/>
                <w:color w:val="auto"/>
              </w:rPr>
            </w:pPr>
            <w:r>
              <w:rPr>
                <w:rFonts w:ascii="Arial" w:cs="Arial" w:eastAsia="Arial" w:hAnsi="Arial"/>
                <w:sz w:val="18"/>
                <w:szCs w:val="18"/>
                <w:color w:val="auto"/>
              </w:rPr>
              <w:t>22.3</w:t>
            </w:r>
          </w:p>
        </w:tc>
        <w:tc>
          <w:tcPr>
            <w:tcW w:w="200" w:type="dxa"/>
            <w:vAlign w:val="bottom"/>
          </w:tcPr>
          <w:p>
            <w:pPr>
              <w:jc w:val="right"/>
              <w:ind w:right="45"/>
              <w:spacing w:after="0"/>
              <w:rPr>
                <w:sz w:val="20"/>
                <w:szCs w:val="20"/>
                <w:color w:val="auto"/>
              </w:rPr>
            </w:pPr>
            <w:r>
              <w:rPr>
                <w:rFonts w:ascii="Arial" w:cs="Arial" w:eastAsia="Arial" w:hAnsi="Arial"/>
                <w:sz w:val="15"/>
                <w:szCs w:val="15"/>
                <w:color w:val="auto"/>
                <w:w w:val="71"/>
              </w:rPr>
              <w:t>$</w:t>
            </w:r>
          </w:p>
        </w:tc>
        <w:tc>
          <w:tcPr>
            <w:tcW w:w="960" w:type="dxa"/>
            <w:vAlign w:val="bottom"/>
            <w:gridSpan w:val="2"/>
          </w:tcPr>
          <w:p>
            <w:pPr>
              <w:jc w:val="right"/>
              <w:ind w:right="160"/>
              <w:spacing w:after="0"/>
              <w:rPr>
                <w:sz w:val="20"/>
                <w:szCs w:val="20"/>
                <w:color w:val="auto"/>
              </w:rPr>
            </w:pPr>
            <w:r>
              <w:rPr>
                <w:rFonts w:ascii="Arial" w:cs="Arial" w:eastAsia="Arial" w:hAnsi="Arial"/>
                <w:sz w:val="18"/>
                <w:szCs w:val="18"/>
                <w:color w:val="auto"/>
              </w:rPr>
              <w:t>37.4</w:t>
            </w:r>
          </w:p>
        </w:tc>
      </w:tr>
      <w:tr>
        <w:trPr>
          <w:trHeight w:val="216"/>
        </w:trPr>
        <w:tc>
          <w:tcPr>
            <w:tcW w:w="518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Profitability Ratios</w:t>
            </w:r>
          </w:p>
        </w:tc>
        <w:tc>
          <w:tcPr>
            <w:tcW w:w="18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57"/>
        </w:trPr>
        <w:tc>
          <w:tcPr>
            <w:tcW w:w="5180" w:type="dxa"/>
            <w:vAlign w:val="bottom"/>
            <w:gridSpan w:val="2"/>
          </w:tcPr>
          <w:p>
            <w:pPr>
              <w:ind w:left="180"/>
              <w:spacing w:after="0" w:line="256" w:lineRule="exact"/>
              <w:rPr>
                <w:sz w:val="20"/>
                <w:szCs w:val="20"/>
                <w:color w:val="auto"/>
              </w:rPr>
            </w:pPr>
            <w:r>
              <w:rPr>
                <w:rFonts w:ascii="Arial" w:cs="Arial" w:eastAsia="Arial" w:hAnsi="Arial"/>
                <w:sz w:val="18"/>
                <w:szCs w:val="18"/>
                <w:color w:val="auto"/>
              </w:rPr>
              <w:t xml:space="preserve">Earnings per Share ("EPS") </w:t>
            </w:r>
            <w:r>
              <w:rPr>
                <w:rFonts w:ascii="Arial" w:cs="Arial" w:eastAsia="Arial" w:hAnsi="Arial"/>
                <w:sz w:val="29"/>
                <w:szCs w:val="29"/>
                <w:color w:val="auto"/>
                <w:vertAlign w:val="superscript"/>
              </w:rPr>
              <w:t>(4)</w:t>
            </w:r>
          </w:p>
        </w:tc>
        <w:tc>
          <w:tcPr>
            <w:tcW w:w="18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1.89</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80"/>
              <w:spacing w:after="0"/>
              <w:rPr>
                <w:sz w:val="20"/>
                <w:szCs w:val="20"/>
                <w:color w:val="auto"/>
              </w:rPr>
            </w:pPr>
            <w:r>
              <w:rPr>
                <w:rFonts w:ascii="Arial" w:cs="Arial" w:eastAsia="Arial" w:hAnsi="Arial"/>
                <w:sz w:val="18"/>
                <w:szCs w:val="18"/>
                <w:color w:val="auto"/>
              </w:rPr>
              <w:t>2.08</w:t>
            </w:r>
          </w:p>
        </w:tc>
        <w:tc>
          <w:tcPr>
            <w:tcW w:w="200" w:type="dxa"/>
            <w:vAlign w:val="bottom"/>
          </w:tcPr>
          <w:p>
            <w:pPr>
              <w:jc w:val="right"/>
              <w:ind w:right="45"/>
              <w:spacing w:after="0"/>
              <w:rPr>
                <w:sz w:val="20"/>
                <w:szCs w:val="20"/>
                <w:color w:val="auto"/>
              </w:rPr>
            </w:pPr>
            <w:r>
              <w:rPr>
                <w:rFonts w:ascii="Arial" w:cs="Arial" w:eastAsia="Arial" w:hAnsi="Arial"/>
                <w:sz w:val="15"/>
                <w:szCs w:val="15"/>
                <w:color w:val="auto"/>
                <w:w w:val="71"/>
              </w:rPr>
              <w:t>$</w:t>
            </w:r>
          </w:p>
        </w:tc>
        <w:tc>
          <w:tcPr>
            <w:tcW w:w="1000" w:type="dxa"/>
            <w:vAlign w:val="bottom"/>
            <w:gridSpan w:val="2"/>
          </w:tcPr>
          <w:p>
            <w:pPr>
              <w:jc w:val="right"/>
              <w:ind w:right="200"/>
              <w:spacing w:after="0"/>
              <w:rPr>
                <w:sz w:val="20"/>
                <w:szCs w:val="20"/>
                <w:color w:val="auto"/>
              </w:rPr>
            </w:pPr>
            <w:r>
              <w:rPr>
                <w:rFonts w:ascii="Arial" w:cs="Arial" w:eastAsia="Arial" w:hAnsi="Arial"/>
                <w:sz w:val="18"/>
                <w:szCs w:val="18"/>
                <w:color w:val="auto"/>
              </w:rPr>
              <w:t>0.72</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80"/>
              <w:spacing w:after="0"/>
              <w:rPr>
                <w:sz w:val="20"/>
                <w:szCs w:val="20"/>
                <w:color w:val="auto"/>
              </w:rPr>
            </w:pPr>
            <w:r>
              <w:rPr>
                <w:rFonts w:ascii="Arial" w:cs="Arial" w:eastAsia="Arial" w:hAnsi="Arial"/>
                <w:sz w:val="18"/>
                <w:szCs w:val="18"/>
                <w:color w:val="auto"/>
              </w:rPr>
              <w:t>0.57</w:t>
            </w:r>
          </w:p>
        </w:tc>
        <w:tc>
          <w:tcPr>
            <w:tcW w:w="200" w:type="dxa"/>
            <w:vAlign w:val="bottom"/>
          </w:tcPr>
          <w:p>
            <w:pPr>
              <w:jc w:val="right"/>
              <w:ind w:right="45"/>
              <w:spacing w:after="0"/>
              <w:rPr>
                <w:sz w:val="20"/>
                <w:szCs w:val="20"/>
                <w:color w:val="auto"/>
              </w:rPr>
            </w:pPr>
            <w:r>
              <w:rPr>
                <w:rFonts w:ascii="Arial" w:cs="Arial" w:eastAsia="Arial" w:hAnsi="Arial"/>
                <w:sz w:val="15"/>
                <w:szCs w:val="15"/>
                <w:color w:val="auto"/>
                <w:w w:val="71"/>
              </w:rPr>
              <w:t>$</w:t>
            </w:r>
          </w:p>
        </w:tc>
        <w:tc>
          <w:tcPr>
            <w:tcW w:w="960" w:type="dxa"/>
            <w:vAlign w:val="bottom"/>
            <w:gridSpan w:val="2"/>
          </w:tcPr>
          <w:p>
            <w:pPr>
              <w:jc w:val="right"/>
              <w:ind w:right="160"/>
              <w:spacing w:after="0"/>
              <w:rPr>
                <w:sz w:val="20"/>
                <w:szCs w:val="20"/>
                <w:color w:val="auto"/>
              </w:rPr>
            </w:pPr>
            <w:r>
              <w:rPr>
                <w:rFonts w:ascii="Arial" w:cs="Arial" w:eastAsia="Arial" w:hAnsi="Arial"/>
                <w:sz w:val="18"/>
                <w:szCs w:val="18"/>
                <w:color w:val="auto"/>
              </w:rPr>
              <w:t>0.96</w:t>
            </w:r>
          </w:p>
        </w:tc>
      </w:tr>
      <w:tr>
        <w:trPr>
          <w:trHeight w:val="257"/>
        </w:trPr>
        <w:tc>
          <w:tcPr>
            <w:tcW w:w="5180" w:type="dxa"/>
            <w:vAlign w:val="bottom"/>
            <w:gridSpan w:val="2"/>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Business EPS </w:t>
            </w:r>
            <w:r>
              <w:rPr>
                <w:rFonts w:ascii="Arial" w:cs="Arial" w:eastAsia="Arial" w:hAnsi="Arial"/>
                <w:sz w:val="29"/>
                <w:szCs w:val="29"/>
                <w:color w:val="auto"/>
                <w:vertAlign w:val="superscript"/>
              </w:rPr>
              <w:t>(4)</w:t>
            </w:r>
          </w:p>
        </w:tc>
        <w:tc>
          <w:tcPr>
            <w:tcW w:w="1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2.00</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1.90</w:t>
            </w:r>
          </w:p>
        </w:tc>
        <w:tc>
          <w:tcPr>
            <w:tcW w:w="200" w:type="dxa"/>
            <w:vAlign w:val="bottom"/>
            <w:shd w:val="clear" w:color="auto" w:fill="CCEEFF"/>
          </w:tcPr>
          <w:p>
            <w:pPr>
              <w:jc w:val="right"/>
              <w:ind w:right="45"/>
              <w:spacing w:after="0"/>
              <w:rPr>
                <w:sz w:val="20"/>
                <w:szCs w:val="20"/>
                <w:color w:val="auto"/>
              </w:rPr>
            </w:pPr>
            <w:r>
              <w:rPr>
                <w:rFonts w:ascii="Arial" w:cs="Arial" w:eastAsia="Arial" w:hAnsi="Arial"/>
                <w:sz w:val="15"/>
                <w:szCs w:val="15"/>
                <w:color w:val="auto"/>
                <w:w w:val="71"/>
              </w:rPr>
              <w:t>$</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0.72</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0.56</w:t>
            </w:r>
          </w:p>
        </w:tc>
        <w:tc>
          <w:tcPr>
            <w:tcW w:w="200" w:type="dxa"/>
            <w:vAlign w:val="bottom"/>
            <w:shd w:val="clear" w:color="auto" w:fill="CCEEFF"/>
          </w:tcPr>
          <w:p>
            <w:pPr>
              <w:jc w:val="right"/>
              <w:ind w:right="45"/>
              <w:spacing w:after="0"/>
              <w:rPr>
                <w:sz w:val="20"/>
                <w:szCs w:val="20"/>
                <w:color w:val="auto"/>
              </w:rPr>
            </w:pPr>
            <w:r>
              <w:rPr>
                <w:rFonts w:ascii="Arial" w:cs="Arial" w:eastAsia="Arial" w:hAnsi="Arial"/>
                <w:sz w:val="15"/>
                <w:szCs w:val="15"/>
                <w:color w:val="auto"/>
                <w:w w:val="71"/>
              </w:rPr>
              <w:t>$</w:t>
            </w: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0.78</w:t>
            </w:r>
          </w:p>
        </w:tc>
      </w:tr>
      <w:tr>
        <w:trPr>
          <w:trHeight w:val="257"/>
        </w:trPr>
        <w:tc>
          <w:tcPr>
            <w:tcW w:w="5180" w:type="dxa"/>
            <w:vAlign w:val="bottom"/>
            <w:gridSpan w:val="2"/>
          </w:tcPr>
          <w:p>
            <w:pPr>
              <w:ind w:left="180"/>
              <w:spacing w:after="0" w:line="256" w:lineRule="exact"/>
              <w:rPr>
                <w:sz w:val="20"/>
                <w:szCs w:val="20"/>
                <w:color w:val="auto"/>
              </w:rPr>
            </w:pPr>
            <w:r>
              <w:rPr>
                <w:rFonts w:ascii="Arial" w:cs="Arial" w:eastAsia="Arial" w:hAnsi="Arial"/>
                <w:sz w:val="18"/>
                <w:szCs w:val="18"/>
                <w:color w:val="auto"/>
              </w:rPr>
              <w:t xml:space="preserve">Return on Average Equity (“ROAE”) </w:t>
            </w:r>
            <w:r>
              <w:rPr>
                <w:rFonts w:ascii="Arial" w:cs="Arial" w:eastAsia="Arial" w:hAnsi="Arial"/>
                <w:sz w:val="29"/>
                <w:szCs w:val="29"/>
                <w:color w:val="auto"/>
                <w:vertAlign w:val="superscript"/>
              </w:rPr>
              <w:t>(5)</w:t>
            </w:r>
          </w:p>
        </w:tc>
        <w:tc>
          <w:tcPr>
            <w:tcW w:w="18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10.0%</w:t>
            </w:r>
          </w:p>
        </w:tc>
        <w:tc>
          <w:tcPr>
            <w:tcW w:w="8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11.5%</w:t>
            </w:r>
          </w:p>
        </w:tc>
        <w:tc>
          <w:tcPr>
            <w:tcW w:w="200" w:type="dxa"/>
            <w:vAlign w:val="bottom"/>
          </w:tcPr>
          <w:p>
            <w:pPr>
              <w:spacing w:after="0"/>
              <w:rPr>
                <w:sz w:val="22"/>
                <w:szCs w:val="22"/>
                <w:color w:val="auto"/>
              </w:rPr>
            </w:pPr>
          </w:p>
        </w:tc>
        <w:tc>
          <w:tcPr>
            <w:tcW w:w="1000" w:type="dxa"/>
            <w:vAlign w:val="bottom"/>
            <w:gridSpan w:val="2"/>
          </w:tcPr>
          <w:p>
            <w:pPr>
              <w:jc w:val="right"/>
              <w:ind w:right="60"/>
              <w:spacing w:after="0"/>
              <w:rPr>
                <w:sz w:val="20"/>
                <w:szCs w:val="20"/>
                <w:color w:val="auto"/>
              </w:rPr>
            </w:pPr>
            <w:r>
              <w:rPr>
                <w:rFonts w:ascii="Arial" w:cs="Arial" w:eastAsia="Arial" w:hAnsi="Arial"/>
                <w:sz w:val="18"/>
                <w:szCs w:val="18"/>
                <w:color w:val="auto"/>
              </w:rPr>
              <w:t>11.2%</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9.1%</w:t>
            </w:r>
          </w:p>
        </w:tc>
        <w:tc>
          <w:tcPr>
            <w:tcW w:w="200" w:type="dxa"/>
            <w:vAlign w:val="bottom"/>
          </w:tcPr>
          <w:p>
            <w:pPr>
              <w:spacing w:after="0"/>
              <w:rPr>
                <w:sz w:val="22"/>
                <w:szCs w:val="22"/>
                <w:color w:val="auto"/>
              </w:rPr>
            </w:pPr>
          </w:p>
        </w:tc>
        <w:tc>
          <w:tcPr>
            <w:tcW w:w="960" w:type="dxa"/>
            <w:vAlign w:val="bottom"/>
            <w:gridSpan w:val="2"/>
          </w:tcPr>
          <w:p>
            <w:pPr>
              <w:jc w:val="right"/>
              <w:ind w:right="20"/>
              <w:spacing w:after="0"/>
              <w:rPr>
                <w:sz w:val="20"/>
                <w:szCs w:val="20"/>
                <w:color w:val="auto"/>
              </w:rPr>
            </w:pPr>
            <w:r>
              <w:rPr>
                <w:rFonts w:ascii="Arial" w:cs="Arial" w:eastAsia="Arial" w:hAnsi="Arial"/>
                <w:sz w:val="18"/>
                <w:szCs w:val="18"/>
                <w:color w:val="auto"/>
              </w:rPr>
              <w:t>15.5%</w:t>
            </w:r>
          </w:p>
        </w:tc>
      </w:tr>
      <w:tr>
        <w:trPr>
          <w:trHeight w:val="257"/>
        </w:trPr>
        <w:tc>
          <w:tcPr>
            <w:tcW w:w="5180" w:type="dxa"/>
            <w:vAlign w:val="bottom"/>
            <w:gridSpan w:val="2"/>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Business ROAE </w:t>
            </w:r>
            <w:r>
              <w:rPr>
                <w:rFonts w:ascii="Arial" w:cs="Arial" w:eastAsia="Arial" w:hAnsi="Arial"/>
                <w:sz w:val="29"/>
                <w:szCs w:val="29"/>
                <w:color w:val="auto"/>
                <w:vertAlign w:val="superscript"/>
              </w:rPr>
              <w:t>(6)</w:t>
            </w:r>
          </w:p>
        </w:tc>
        <w:tc>
          <w:tcPr>
            <w:tcW w:w="18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10.6%</w:t>
            </w:r>
          </w:p>
        </w:tc>
        <w:tc>
          <w:tcPr>
            <w:tcW w:w="8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10.5%</w:t>
            </w:r>
          </w:p>
        </w:tc>
        <w:tc>
          <w:tcPr>
            <w:tcW w:w="200" w:type="dxa"/>
            <w:vAlign w:val="bottom"/>
            <w:shd w:val="clear" w:color="auto" w:fill="CCEEFF"/>
          </w:tcPr>
          <w:p>
            <w:pPr>
              <w:spacing w:after="0"/>
              <w:rPr>
                <w:sz w:val="22"/>
                <w:szCs w:val="22"/>
                <w:color w:val="auto"/>
              </w:rPr>
            </w:pPr>
          </w:p>
        </w:tc>
        <w:tc>
          <w:tcPr>
            <w:tcW w:w="10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11.2%</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9.0%</w:t>
            </w:r>
          </w:p>
        </w:tc>
        <w:tc>
          <w:tcPr>
            <w:tcW w:w="20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12.6%</w:t>
            </w:r>
          </w:p>
        </w:tc>
      </w:tr>
      <w:tr>
        <w:trPr>
          <w:trHeight w:val="216"/>
        </w:trPr>
        <w:tc>
          <w:tcPr>
            <w:tcW w:w="5180" w:type="dxa"/>
            <w:vAlign w:val="bottom"/>
            <w:gridSpan w:val="2"/>
          </w:tcPr>
          <w:p>
            <w:pPr>
              <w:ind w:left="180"/>
              <w:spacing w:after="0"/>
              <w:rPr>
                <w:sz w:val="20"/>
                <w:szCs w:val="20"/>
                <w:color w:val="auto"/>
              </w:rPr>
            </w:pPr>
            <w:r>
              <w:rPr>
                <w:rFonts w:ascii="Arial" w:cs="Arial" w:eastAsia="Arial" w:hAnsi="Arial"/>
                <w:sz w:val="18"/>
                <w:szCs w:val="18"/>
                <w:color w:val="auto"/>
              </w:rPr>
              <w:t>Return on Average Assets (“ROAA”)</w:t>
            </w:r>
          </w:p>
        </w:tc>
        <w:tc>
          <w:tcPr>
            <w:tcW w:w="180" w:type="dxa"/>
            <w:vAlign w:val="bottom"/>
          </w:tcPr>
          <w:p>
            <w:pPr>
              <w:spacing w:after="0"/>
              <w:rPr>
                <w:sz w:val="18"/>
                <w:szCs w:val="18"/>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1.31%</w:t>
            </w: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1.36%</w:t>
            </w:r>
          </w:p>
        </w:tc>
        <w:tc>
          <w:tcPr>
            <w:tcW w:w="200" w:type="dxa"/>
            <w:vAlign w:val="bottom"/>
          </w:tcPr>
          <w:p>
            <w:pPr>
              <w:spacing w:after="0"/>
              <w:rPr>
                <w:sz w:val="18"/>
                <w:szCs w:val="18"/>
                <w:color w:val="auto"/>
              </w:rPr>
            </w:pPr>
          </w:p>
        </w:tc>
        <w:tc>
          <w:tcPr>
            <w:tcW w:w="1000" w:type="dxa"/>
            <w:vAlign w:val="bottom"/>
            <w:gridSpan w:val="2"/>
          </w:tcPr>
          <w:p>
            <w:pPr>
              <w:jc w:val="right"/>
              <w:ind w:right="60"/>
              <w:spacing w:after="0"/>
              <w:rPr>
                <w:sz w:val="20"/>
                <w:szCs w:val="20"/>
                <w:color w:val="auto"/>
              </w:rPr>
            </w:pPr>
            <w:r>
              <w:rPr>
                <w:rFonts w:ascii="Arial" w:cs="Arial" w:eastAsia="Arial" w:hAnsi="Arial"/>
                <w:sz w:val="18"/>
                <w:szCs w:val="18"/>
                <w:color w:val="auto"/>
              </w:rPr>
              <w:t>1.50%</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1.20%</w:t>
            </w:r>
          </w:p>
        </w:tc>
        <w:tc>
          <w:tcPr>
            <w:tcW w:w="200" w:type="dxa"/>
            <w:vAlign w:val="bottom"/>
          </w:tcPr>
          <w:p>
            <w:pPr>
              <w:spacing w:after="0"/>
              <w:rPr>
                <w:sz w:val="18"/>
                <w:szCs w:val="18"/>
                <w:color w:val="auto"/>
              </w:rPr>
            </w:pPr>
          </w:p>
        </w:tc>
        <w:tc>
          <w:tcPr>
            <w:tcW w:w="960" w:type="dxa"/>
            <w:vAlign w:val="bottom"/>
            <w:gridSpan w:val="2"/>
          </w:tcPr>
          <w:p>
            <w:pPr>
              <w:jc w:val="right"/>
              <w:ind w:right="20"/>
              <w:spacing w:after="0"/>
              <w:rPr>
                <w:sz w:val="20"/>
                <w:szCs w:val="20"/>
                <w:color w:val="auto"/>
              </w:rPr>
            </w:pPr>
            <w:r>
              <w:rPr>
                <w:rFonts w:ascii="Arial" w:cs="Arial" w:eastAsia="Arial" w:hAnsi="Arial"/>
                <w:sz w:val="18"/>
                <w:szCs w:val="18"/>
                <w:color w:val="auto"/>
              </w:rPr>
              <w:t>1.85%</w:t>
            </w:r>
          </w:p>
        </w:tc>
      </w:tr>
      <w:tr>
        <w:trPr>
          <w:trHeight w:val="216"/>
        </w:trPr>
        <w:tc>
          <w:tcPr>
            <w:tcW w:w="518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Business ROAA</w:t>
            </w:r>
          </w:p>
        </w:tc>
        <w:tc>
          <w:tcPr>
            <w:tcW w:w="18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1.38%</w:t>
            </w: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1.25%</w:t>
            </w:r>
          </w:p>
        </w:tc>
        <w:tc>
          <w:tcPr>
            <w:tcW w:w="20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1.50%</w:t>
            </w: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1.19%</w:t>
            </w:r>
          </w:p>
        </w:tc>
        <w:tc>
          <w:tcPr>
            <w:tcW w:w="20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1.50%</w:t>
            </w:r>
          </w:p>
        </w:tc>
      </w:tr>
      <w:tr>
        <w:trPr>
          <w:trHeight w:val="257"/>
        </w:trPr>
        <w:tc>
          <w:tcPr>
            <w:tcW w:w="5180" w:type="dxa"/>
            <w:vAlign w:val="bottom"/>
            <w:gridSpan w:val="2"/>
          </w:tcPr>
          <w:p>
            <w:pPr>
              <w:ind w:left="180"/>
              <w:spacing w:after="0" w:line="256" w:lineRule="exact"/>
              <w:rPr>
                <w:sz w:val="20"/>
                <w:szCs w:val="20"/>
                <w:color w:val="auto"/>
              </w:rPr>
            </w:pPr>
            <w:r>
              <w:rPr>
                <w:rFonts w:ascii="Arial" w:cs="Arial" w:eastAsia="Arial" w:hAnsi="Arial"/>
                <w:sz w:val="18"/>
                <w:szCs w:val="18"/>
                <w:color w:val="auto"/>
              </w:rPr>
              <w:t xml:space="preserve">Net Interest Margin ("NIM") </w:t>
            </w:r>
            <w:r>
              <w:rPr>
                <w:rFonts w:ascii="Arial" w:cs="Arial" w:eastAsia="Arial" w:hAnsi="Arial"/>
                <w:sz w:val="29"/>
                <w:szCs w:val="29"/>
                <w:color w:val="auto"/>
                <w:vertAlign w:val="superscript"/>
              </w:rPr>
              <w:t>(7)</w:t>
            </w:r>
          </w:p>
        </w:tc>
        <w:tc>
          <w:tcPr>
            <w:tcW w:w="18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2.08%</w:t>
            </w:r>
          </w:p>
        </w:tc>
        <w:tc>
          <w:tcPr>
            <w:tcW w:w="8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1.82%</w:t>
            </w:r>
          </w:p>
        </w:tc>
        <w:tc>
          <w:tcPr>
            <w:tcW w:w="200" w:type="dxa"/>
            <w:vAlign w:val="bottom"/>
          </w:tcPr>
          <w:p>
            <w:pPr>
              <w:spacing w:after="0"/>
              <w:rPr>
                <w:sz w:val="22"/>
                <w:szCs w:val="22"/>
                <w:color w:val="auto"/>
              </w:rPr>
            </w:pPr>
          </w:p>
        </w:tc>
        <w:tc>
          <w:tcPr>
            <w:tcW w:w="1000" w:type="dxa"/>
            <w:vAlign w:val="bottom"/>
            <w:gridSpan w:val="2"/>
          </w:tcPr>
          <w:p>
            <w:pPr>
              <w:jc w:val="right"/>
              <w:ind w:right="60"/>
              <w:spacing w:after="0"/>
              <w:rPr>
                <w:sz w:val="20"/>
                <w:szCs w:val="20"/>
                <w:color w:val="auto"/>
              </w:rPr>
            </w:pPr>
            <w:r>
              <w:rPr>
                <w:rFonts w:ascii="Arial" w:cs="Arial" w:eastAsia="Arial" w:hAnsi="Arial"/>
                <w:sz w:val="18"/>
                <w:szCs w:val="18"/>
                <w:color w:val="auto"/>
              </w:rPr>
              <w:t>2.13%</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2.06%</w:t>
            </w:r>
          </w:p>
        </w:tc>
        <w:tc>
          <w:tcPr>
            <w:tcW w:w="200" w:type="dxa"/>
            <w:vAlign w:val="bottom"/>
          </w:tcPr>
          <w:p>
            <w:pPr>
              <w:spacing w:after="0"/>
              <w:rPr>
                <w:sz w:val="22"/>
                <w:szCs w:val="22"/>
                <w:color w:val="auto"/>
              </w:rPr>
            </w:pPr>
          </w:p>
        </w:tc>
        <w:tc>
          <w:tcPr>
            <w:tcW w:w="960" w:type="dxa"/>
            <w:vAlign w:val="bottom"/>
            <w:gridSpan w:val="2"/>
          </w:tcPr>
          <w:p>
            <w:pPr>
              <w:jc w:val="right"/>
              <w:ind w:right="20"/>
              <w:spacing w:after="0"/>
              <w:rPr>
                <w:sz w:val="20"/>
                <w:szCs w:val="20"/>
                <w:color w:val="auto"/>
              </w:rPr>
            </w:pPr>
            <w:r>
              <w:rPr>
                <w:rFonts w:ascii="Arial" w:cs="Arial" w:eastAsia="Arial" w:hAnsi="Arial"/>
                <w:sz w:val="18"/>
                <w:szCs w:val="18"/>
                <w:color w:val="auto"/>
              </w:rPr>
              <w:t>1.83%</w:t>
            </w:r>
          </w:p>
        </w:tc>
      </w:tr>
      <w:tr>
        <w:trPr>
          <w:trHeight w:val="257"/>
        </w:trPr>
        <w:tc>
          <w:tcPr>
            <w:tcW w:w="5180" w:type="dxa"/>
            <w:vAlign w:val="bottom"/>
            <w:gridSpan w:val="2"/>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Net Interest Spread ("NIS") </w:t>
            </w:r>
            <w:r>
              <w:rPr>
                <w:rFonts w:ascii="Arial" w:cs="Arial" w:eastAsia="Arial" w:hAnsi="Arial"/>
                <w:sz w:val="29"/>
                <w:szCs w:val="29"/>
                <w:color w:val="auto"/>
                <w:vertAlign w:val="superscript"/>
              </w:rPr>
              <w:t>(8)</w:t>
            </w:r>
          </w:p>
        </w:tc>
        <w:tc>
          <w:tcPr>
            <w:tcW w:w="18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1.86%</w:t>
            </w:r>
          </w:p>
        </w:tc>
        <w:tc>
          <w:tcPr>
            <w:tcW w:w="8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1.66%</w:t>
            </w:r>
          </w:p>
        </w:tc>
        <w:tc>
          <w:tcPr>
            <w:tcW w:w="200" w:type="dxa"/>
            <w:vAlign w:val="bottom"/>
            <w:shd w:val="clear" w:color="auto" w:fill="CCEEFF"/>
          </w:tcPr>
          <w:p>
            <w:pPr>
              <w:spacing w:after="0"/>
              <w:rPr>
                <w:sz w:val="22"/>
                <w:szCs w:val="22"/>
                <w:color w:val="auto"/>
              </w:rPr>
            </w:pPr>
          </w:p>
        </w:tc>
        <w:tc>
          <w:tcPr>
            <w:tcW w:w="10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1.89%</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1.83%</w:t>
            </w:r>
          </w:p>
        </w:tc>
        <w:tc>
          <w:tcPr>
            <w:tcW w:w="20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1.67%</w:t>
            </w:r>
          </w:p>
        </w:tc>
      </w:tr>
      <w:tr>
        <w:trPr>
          <w:trHeight w:val="257"/>
        </w:trPr>
        <w:tc>
          <w:tcPr>
            <w:tcW w:w="5180" w:type="dxa"/>
            <w:vAlign w:val="bottom"/>
            <w:gridSpan w:val="2"/>
          </w:tcPr>
          <w:p>
            <w:pPr>
              <w:ind w:left="180"/>
              <w:spacing w:after="0" w:line="256" w:lineRule="exact"/>
              <w:rPr>
                <w:sz w:val="20"/>
                <w:szCs w:val="20"/>
                <w:color w:val="auto"/>
              </w:rPr>
            </w:pPr>
            <w:r>
              <w:rPr>
                <w:rFonts w:ascii="Arial" w:cs="Arial" w:eastAsia="Arial" w:hAnsi="Arial"/>
                <w:sz w:val="18"/>
                <w:szCs w:val="18"/>
                <w:color w:val="auto"/>
              </w:rPr>
              <w:t xml:space="preserve">Efficiency Ratio </w:t>
            </w:r>
            <w:r>
              <w:rPr>
                <w:rFonts w:ascii="Arial" w:cs="Arial" w:eastAsia="Arial" w:hAnsi="Arial"/>
                <w:sz w:val="29"/>
                <w:szCs w:val="29"/>
                <w:color w:val="auto"/>
                <w:vertAlign w:val="superscript"/>
              </w:rPr>
              <w:t>(9)</w:t>
            </w:r>
          </w:p>
        </w:tc>
        <w:tc>
          <w:tcPr>
            <w:tcW w:w="18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27%</w:t>
            </w:r>
          </w:p>
        </w:tc>
        <w:tc>
          <w:tcPr>
            <w:tcW w:w="8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30%</w:t>
            </w:r>
          </w:p>
        </w:tc>
        <w:tc>
          <w:tcPr>
            <w:tcW w:w="200" w:type="dxa"/>
            <w:vAlign w:val="bottom"/>
          </w:tcPr>
          <w:p>
            <w:pPr>
              <w:spacing w:after="0"/>
              <w:rPr>
                <w:sz w:val="22"/>
                <w:szCs w:val="22"/>
                <w:color w:val="auto"/>
              </w:rPr>
            </w:pPr>
          </w:p>
        </w:tc>
        <w:tc>
          <w:tcPr>
            <w:tcW w:w="1000" w:type="dxa"/>
            <w:vAlign w:val="bottom"/>
            <w:gridSpan w:val="2"/>
          </w:tcPr>
          <w:p>
            <w:pPr>
              <w:jc w:val="right"/>
              <w:ind w:right="60"/>
              <w:spacing w:after="0"/>
              <w:rPr>
                <w:sz w:val="20"/>
                <w:szCs w:val="20"/>
                <w:color w:val="auto"/>
              </w:rPr>
            </w:pPr>
            <w:r>
              <w:rPr>
                <w:rFonts w:ascii="Arial" w:cs="Arial" w:eastAsia="Arial" w:hAnsi="Arial"/>
                <w:sz w:val="18"/>
                <w:szCs w:val="18"/>
                <w:color w:val="auto"/>
              </w:rPr>
              <w:t>26%</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23%</w:t>
            </w:r>
          </w:p>
        </w:tc>
        <w:tc>
          <w:tcPr>
            <w:tcW w:w="200" w:type="dxa"/>
            <w:vAlign w:val="bottom"/>
          </w:tcPr>
          <w:p>
            <w:pPr>
              <w:spacing w:after="0"/>
              <w:rPr>
                <w:sz w:val="22"/>
                <w:szCs w:val="22"/>
                <w:color w:val="auto"/>
              </w:rPr>
            </w:pPr>
          </w:p>
        </w:tc>
        <w:tc>
          <w:tcPr>
            <w:tcW w:w="960" w:type="dxa"/>
            <w:vAlign w:val="bottom"/>
            <w:gridSpan w:val="2"/>
          </w:tcPr>
          <w:p>
            <w:pPr>
              <w:jc w:val="right"/>
              <w:ind w:right="20"/>
              <w:spacing w:after="0"/>
              <w:rPr>
                <w:sz w:val="20"/>
                <w:szCs w:val="20"/>
                <w:color w:val="auto"/>
              </w:rPr>
            </w:pPr>
            <w:r>
              <w:rPr>
                <w:rFonts w:ascii="Arial" w:cs="Arial" w:eastAsia="Arial" w:hAnsi="Arial"/>
                <w:sz w:val="18"/>
                <w:szCs w:val="18"/>
                <w:color w:val="auto"/>
              </w:rPr>
              <w:t>25%</w:t>
            </w:r>
          </w:p>
        </w:tc>
      </w:tr>
      <w:tr>
        <w:trPr>
          <w:trHeight w:val="257"/>
        </w:trPr>
        <w:tc>
          <w:tcPr>
            <w:tcW w:w="5180" w:type="dxa"/>
            <w:vAlign w:val="bottom"/>
            <w:gridSpan w:val="2"/>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Business Efficiency Ratio </w:t>
            </w:r>
            <w:r>
              <w:rPr>
                <w:rFonts w:ascii="Arial" w:cs="Arial" w:eastAsia="Arial" w:hAnsi="Arial"/>
                <w:sz w:val="29"/>
                <w:szCs w:val="29"/>
                <w:color w:val="auto"/>
                <w:vertAlign w:val="superscript"/>
              </w:rPr>
              <w:t>(9)</w:t>
            </w:r>
          </w:p>
        </w:tc>
        <w:tc>
          <w:tcPr>
            <w:tcW w:w="18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26%</w:t>
            </w:r>
          </w:p>
        </w:tc>
        <w:tc>
          <w:tcPr>
            <w:tcW w:w="8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31%</w:t>
            </w:r>
          </w:p>
        </w:tc>
        <w:tc>
          <w:tcPr>
            <w:tcW w:w="200" w:type="dxa"/>
            <w:vAlign w:val="bottom"/>
            <w:shd w:val="clear" w:color="auto" w:fill="CCEEFF"/>
          </w:tcPr>
          <w:p>
            <w:pPr>
              <w:spacing w:after="0"/>
              <w:rPr>
                <w:sz w:val="22"/>
                <w:szCs w:val="22"/>
                <w:color w:val="auto"/>
              </w:rPr>
            </w:pPr>
          </w:p>
        </w:tc>
        <w:tc>
          <w:tcPr>
            <w:tcW w:w="10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26%</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22%</w:t>
            </w:r>
          </w:p>
        </w:tc>
        <w:tc>
          <w:tcPr>
            <w:tcW w:w="20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29%</w:t>
            </w:r>
          </w:p>
        </w:tc>
      </w:tr>
      <w:tr>
        <w:trPr>
          <w:trHeight w:val="216"/>
        </w:trPr>
        <w:tc>
          <w:tcPr>
            <w:tcW w:w="5180" w:type="dxa"/>
            <w:vAlign w:val="bottom"/>
            <w:gridSpan w:val="2"/>
          </w:tcPr>
          <w:p>
            <w:pPr>
              <w:spacing w:after="0"/>
              <w:rPr>
                <w:sz w:val="20"/>
                <w:szCs w:val="20"/>
                <w:color w:val="auto"/>
              </w:rPr>
            </w:pPr>
            <w:r>
              <w:rPr>
                <w:rFonts w:ascii="Arial" w:cs="Arial" w:eastAsia="Arial" w:hAnsi="Arial"/>
                <w:sz w:val="18"/>
                <w:szCs w:val="18"/>
                <w:b w:val="1"/>
                <w:bCs w:val="1"/>
                <w:color w:val="auto"/>
              </w:rPr>
              <w:t>Assets, Capital, Liquidity &amp; Credit Quality</w:t>
            </w:r>
          </w:p>
        </w:tc>
        <w:tc>
          <w:tcPr>
            <w:tcW w:w="18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16"/>
        </w:trPr>
        <w:tc>
          <w:tcPr>
            <w:tcW w:w="518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Commercial Portfolio</w:t>
            </w:r>
          </w:p>
        </w:tc>
        <w:tc>
          <w:tcPr>
            <w:tcW w:w="1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6,688</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7,124</w:t>
            </w:r>
          </w:p>
        </w:tc>
        <w:tc>
          <w:tcPr>
            <w:tcW w:w="280" w:type="dxa"/>
            <w:vAlign w:val="bottom"/>
            <w:shd w:val="clear" w:color="auto" w:fill="CCEEFF"/>
          </w:tcPr>
          <w:p>
            <w:pPr>
              <w:spacing w:after="0"/>
              <w:rPr>
                <w:sz w:val="18"/>
                <w:szCs w:val="18"/>
                <w:color w:val="auto"/>
              </w:rPr>
            </w:pPr>
          </w:p>
        </w:tc>
        <w:tc>
          <w:tcPr>
            <w:tcW w:w="200" w:type="dxa"/>
            <w:vAlign w:val="bottom"/>
            <w:shd w:val="clear" w:color="auto" w:fill="CCEEFF"/>
          </w:tcPr>
          <w:p>
            <w:pPr>
              <w:jc w:val="right"/>
              <w:ind w:right="45"/>
              <w:spacing w:after="0"/>
              <w:rPr>
                <w:sz w:val="20"/>
                <w:szCs w:val="20"/>
                <w:color w:val="auto"/>
              </w:rPr>
            </w:pPr>
            <w:r>
              <w:rPr>
                <w:rFonts w:ascii="Arial" w:cs="Arial" w:eastAsia="Arial" w:hAnsi="Arial"/>
                <w:sz w:val="15"/>
                <w:szCs w:val="15"/>
                <w:color w:val="auto"/>
                <w:w w:val="71"/>
              </w:rPr>
              <w:t>$</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6,688</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6,767</w:t>
            </w:r>
          </w:p>
        </w:tc>
        <w:tc>
          <w:tcPr>
            <w:tcW w:w="280" w:type="dxa"/>
            <w:vAlign w:val="bottom"/>
            <w:shd w:val="clear" w:color="auto" w:fill="CCEEFF"/>
          </w:tcPr>
          <w:p>
            <w:pPr>
              <w:spacing w:after="0"/>
              <w:rPr>
                <w:sz w:val="18"/>
                <w:szCs w:val="18"/>
                <w:color w:val="auto"/>
              </w:rPr>
            </w:pPr>
          </w:p>
        </w:tc>
        <w:tc>
          <w:tcPr>
            <w:tcW w:w="200" w:type="dxa"/>
            <w:vAlign w:val="bottom"/>
            <w:shd w:val="clear" w:color="auto" w:fill="CCEEFF"/>
          </w:tcPr>
          <w:p>
            <w:pPr>
              <w:jc w:val="right"/>
              <w:ind w:right="45"/>
              <w:spacing w:after="0"/>
              <w:rPr>
                <w:sz w:val="20"/>
                <w:szCs w:val="20"/>
                <w:color w:val="auto"/>
              </w:rPr>
            </w:pPr>
            <w:r>
              <w:rPr>
                <w:rFonts w:ascii="Arial" w:cs="Arial" w:eastAsia="Arial" w:hAnsi="Arial"/>
                <w:sz w:val="15"/>
                <w:szCs w:val="15"/>
                <w:color w:val="auto"/>
                <w:w w:val="71"/>
              </w:rPr>
              <w:t>$</w:t>
            </w: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7,124</w:t>
            </w:r>
          </w:p>
        </w:tc>
      </w:tr>
      <w:tr>
        <w:trPr>
          <w:trHeight w:val="216"/>
        </w:trPr>
        <w:tc>
          <w:tcPr>
            <w:tcW w:w="5180" w:type="dxa"/>
            <w:vAlign w:val="bottom"/>
            <w:gridSpan w:val="2"/>
          </w:tcPr>
          <w:p>
            <w:pPr>
              <w:ind w:left="180"/>
              <w:spacing w:after="0"/>
              <w:rPr>
                <w:sz w:val="20"/>
                <w:szCs w:val="20"/>
                <w:color w:val="auto"/>
              </w:rPr>
            </w:pPr>
            <w:r>
              <w:rPr>
                <w:rFonts w:ascii="Arial" w:cs="Arial" w:eastAsia="Arial" w:hAnsi="Arial"/>
                <w:sz w:val="18"/>
                <w:szCs w:val="18"/>
                <w:color w:val="auto"/>
              </w:rPr>
              <w:t>Treasury Portfolio</w:t>
            </w:r>
          </w:p>
        </w:tc>
        <w:tc>
          <w:tcPr>
            <w:tcW w:w="18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145</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80"/>
              <w:spacing w:after="0"/>
              <w:rPr>
                <w:sz w:val="20"/>
                <w:szCs w:val="20"/>
                <w:color w:val="auto"/>
              </w:rPr>
            </w:pPr>
            <w:r>
              <w:rPr>
                <w:rFonts w:ascii="Arial" w:cs="Arial" w:eastAsia="Arial" w:hAnsi="Arial"/>
                <w:sz w:val="18"/>
                <w:szCs w:val="18"/>
                <w:color w:val="auto"/>
              </w:rPr>
              <w:t>293</w:t>
            </w:r>
          </w:p>
        </w:tc>
        <w:tc>
          <w:tcPr>
            <w:tcW w:w="200" w:type="dxa"/>
            <w:vAlign w:val="bottom"/>
          </w:tcPr>
          <w:p>
            <w:pPr>
              <w:jc w:val="right"/>
              <w:ind w:right="45"/>
              <w:spacing w:after="0"/>
              <w:rPr>
                <w:sz w:val="20"/>
                <w:szCs w:val="20"/>
                <w:color w:val="auto"/>
              </w:rPr>
            </w:pPr>
            <w:r>
              <w:rPr>
                <w:rFonts w:ascii="Arial" w:cs="Arial" w:eastAsia="Arial" w:hAnsi="Arial"/>
                <w:sz w:val="15"/>
                <w:szCs w:val="15"/>
                <w:color w:val="auto"/>
                <w:w w:val="71"/>
              </w:rPr>
              <w:t>$</w:t>
            </w:r>
          </w:p>
        </w:tc>
        <w:tc>
          <w:tcPr>
            <w:tcW w:w="1000" w:type="dxa"/>
            <w:vAlign w:val="bottom"/>
            <w:gridSpan w:val="2"/>
          </w:tcPr>
          <w:p>
            <w:pPr>
              <w:jc w:val="right"/>
              <w:ind w:right="200"/>
              <w:spacing w:after="0"/>
              <w:rPr>
                <w:sz w:val="20"/>
                <w:szCs w:val="20"/>
                <w:color w:val="auto"/>
              </w:rPr>
            </w:pPr>
            <w:r>
              <w:rPr>
                <w:rFonts w:ascii="Arial" w:cs="Arial" w:eastAsia="Arial" w:hAnsi="Arial"/>
                <w:sz w:val="18"/>
                <w:szCs w:val="18"/>
                <w:color w:val="auto"/>
              </w:rPr>
              <w:t>145</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80"/>
              <w:spacing w:after="0"/>
              <w:rPr>
                <w:sz w:val="20"/>
                <w:szCs w:val="20"/>
                <w:color w:val="auto"/>
              </w:rPr>
            </w:pPr>
            <w:r>
              <w:rPr>
                <w:rFonts w:ascii="Arial" w:cs="Arial" w:eastAsia="Arial" w:hAnsi="Arial"/>
                <w:sz w:val="18"/>
                <w:szCs w:val="18"/>
                <w:color w:val="auto"/>
              </w:rPr>
              <w:t>180</w:t>
            </w:r>
          </w:p>
        </w:tc>
        <w:tc>
          <w:tcPr>
            <w:tcW w:w="200" w:type="dxa"/>
            <w:vAlign w:val="bottom"/>
          </w:tcPr>
          <w:p>
            <w:pPr>
              <w:jc w:val="right"/>
              <w:ind w:right="45"/>
              <w:spacing w:after="0"/>
              <w:rPr>
                <w:sz w:val="20"/>
                <w:szCs w:val="20"/>
                <w:color w:val="auto"/>
              </w:rPr>
            </w:pPr>
            <w:r>
              <w:rPr>
                <w:rFonts w:ascii="Arial" w:cs="Arial" w:eastAsia="Arial" w:hAnsi="Arial"/>
                <w:sz w:val="15"/>
                <w:szCs w:val="15"/>
                <w:color w:val="auto"/>
                <w:w w:val="71"/>
              </w:rPr>
              <w:t>$</w:t>
            </w:r>
          </w:p>
        </w:tc>
        <w:tc>
          <w:tcPr>
            <w:tcW w:w="960" w:type="dxa"/>
            <w:vAlign w:val="bottom"/>
            <w:gridSpan w:val="2"/>
          </w:tcPr>
          <w:p>
            <w:pPr>
              <w:jc w:val="right"/>
              <w:ind w:right="160"/>
              <w:spacing w:after="0"/>
              <w:rPr>
                <w:sz w:val="20"/>
                <w:szCs w:val="20"/>
                <w:color w:val="auto"/>
              </w:rPr>
            </w:pPr>
            <w:r>
              <w:rPr>
                <w:rFonts w:ascii="Arial" w:cs="Arial" w:eastAsia="Arial" w:hAnsi="Arial"/>
                <w:sz w:val="18"/>
                <w:szCs w:val="18"/>
                <w:color w:val="auto"/>
              </w:rPr>
              <w:t>293</w:t>
            </w:r>
          </w:p>
        </w:tc>
      </w:tr>
      <w:tr>
        <w:trPr>
          <w:trHeight w:val="216"/>
        </w:trPr>
        <w:tc>
          <w:tcPr>
            <w:tcW w:w="518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Total Assets</w:t>
            </w:r>
          </w:p>
        </w:tc>
        <w:tc>
          <w:tcPr>
            <w:tcW w:w="18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7,287</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7,988</w:t>
            </w:r>
          </w:p>
        </w:tc>
        <w:tc>
          <w:tcPr>
            <w:tcW w:w="280" w:type="dxa"/>
            <w:vAlign w:val="bottom"/>
            <w:shd w:val="clear" w:color="auto" w:fill="CCEEFF"/>
          </w:tcPr>
          <w:p>
            <w:pPr>
              <w:spacing w:after="0"/>
              <w:rPr>
                <w:sz w:val="18"/>
                <w:szCs w:val="18"/>
                <w:color w:val="auto"/>
              </w:rPr>
            </w:pPr>
          </w:p>
        </w:tc>
        <w:tc>
          <w:tcPr>
            <w:tcW w:w="200" w:type="dxa"/>
            <w:vAlign w:val="bottom"/>
            <w:shd w:val="clear" w:color="auto" w:fill="CCEEFF"/>
          </w:tcPr>
          <w:p>
            <w:pPr>
              <w:jc w:val="right"/>
              <w:ind w:right="45"/>
              <w:spacing w:after="0"/>
              <w:rPr>
                <w:sz w:val="20"/>
                <w:szCs w:val="20"/>
                <w:color w:val="auto"/>
              </w:rPr>
            </w:pPr>
            <w:r>
              <w:rPr>
                <w:rFonts w:ascii="Arial" w:cs="Arial" w:eastAsia="Arial" w:hAnsi="Arial"/>
                <w:sz w:val="15"/>
                <w:szCs w:val="15"/>
                <w:color w:val="auto"/>
                <w:w w:val="71"/>
              </w:rPr>
              <w:t>$</w:t>
            </w:r>
          </w:p>
        </w:tc>
        <w:tc>
          <w:tcPr>
            <w:tcW w:w="10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7,287</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7,634</w:t>
            </w:r>
          </w:p>
        </w:tc>
        <w:tc>
          <w:tcPr>
            <w:tcW w:w="280" w:type="dxa"/>
            <w:vAlign w:val="bottom"/>
            <w:shd w:val="clear" w:color="auto" w:fill="CCEEFF"/>
          </w:tcPr>
          <w:p>
            <w:pPr>
              <w:spacing w:after="0"/>
              <w:rPr>
                <w:sz w:val="18"/>
                <w:szCs w:val="18"/>
                <w:color w:val="auto"/>
              </w:rPr>
            </w:pPr>
          </w:p>
        </w:tc>
        <w:tc>
          <w:tcPr>
            <w:tcW w:w="200" w:type="dxa"/>
            <w:vAlign w:val="bottom"/>
            <w:shd w:val="clear" w:color="auto" w:fill="CCEEFF"/>
          </w:tcPr>
          <w:p>
            <w:pPr>
              <w:jc w:val="right"/>
              <w:ind w:right="45"/>
              <w:spacing w:after="0"/>
              <w:rPr>
                <w:sz w:val="20"/>
                <w:szCs w:val="20"/>
                <w:color w:val="auto"/>
              </w:rPr>
            </w:pPr>
            <w:r>
              <w:rPr>
                <w:rFonts w:ascii="Arial" w:cs="Arial" w:eastAsia="Arial" w:hAnsi="Arial"/>
                <w:sz w:val="15"/>
                <w:szCs w:val="15"/>
                <w:color w:val="auto"/>
                <w:w w:val="71"/>
              </w:rPr>
              <w:t>$</w:t>
            </w: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7,988</w:t>
            </w:r>
          </w:p>
        </w:tc>
      </w:tr>
      <w:tr>
        <w:trPr>
          <w:trHeight w:val="216"/>
        </w:trPr>
        <w:tc>
          <w:tcPr>
            <w:tcW w:w="5180" w:type="dxa"/>
            <w:vAlign w:val="bottom"/>
            <w:gridSpan w:val="2"/>
          </w:tcPr>
          <w:p>
            <w:pPr>
              <w:ind w:left="180"/>
              <w:spacing w:after="0"/>
              <w:rPr>
                <w:sz w:val="20"/>
                <w:szCs w:val="20"/>
                <w:color w:val="auto"/>
              </w:rPr>
            </w:pPr>
            <w:r>
              <w:rPr>
                <w:rFonts w:ascii="Arial" w:cs="Arial" w:eastAsia="Arial" w:hAnsi="Arial"/>
                <w:sz w:val="18"/>
                <w:szCs w:val="18"/>
                <w:color w:val="auto"/>
              </w:rPr>
              <w:t>Market capitalization</w:t>
            </w:r>
          </w:p>
        </w:tc>
        <w:tc>
          <w:tcPr>
            <w:tcW w:w="18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1,104</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80"/>
              <w:spacing w:after="0"/>
              <w:rPr>
                <w:sz w:val="20"/>
                <w:szCs w:val="20"/>
                <w:color w:val="auto"/>
              </w:rPr>
            </w:pPr>
            <w:r>
              <w:rPr>
                <w:rFonts w:ascii="Arial" w:cs="Arial" w:eastAsia="Arial" w:hAnsi="Arial"/>
                <w:sz w:val="18"/>
                <w:szCs w:val="18"/>
                <w:color w:val="auto"/>
              </w:rPr>
              <w:t>902</w:t>
            </w:r>
          </w:p>
        </w:tc>
        <w:tc>
          <w:tcPr>
            <w:tcW w:w="200" w:type="dxa"/>
            <w:vAlign w:val="bottom"/>
          </w:tcPr>
          <w:p>
            <w:pPr>
              <w:jc w:val="right"/>
              <w:ind w:right="45"/>
              <w:spacing w:after="0"/>
              <w:rPr>
                <w:sz w:val="20"/>
                <w:szCs w:val="20"/>
                <w:color w:val="auto"/>
              </w:rPr>
            </w:pPr>
            <w:r>
              <w:rPr>
                <w:rFonts w:ascii="Arial" w:cs="Arial" w:eastAsia="Arial" w:hAnsi="Arial"/>
                <w:sz w:val="15"/>
                <w:szCs w:val="15"/>
                <w:color w:val="auto"/>
                <w:w w:val="71"/>
              </w:rPr>
              <w:t>$</w:t>
            </w:r>
          </w:p>
        </w:tc>
        <w:tc>
          <w:tcPr>
            <w:tcW w:w="1000" w:type="dxa"/>
            <w:vAlign w:val="bottom"/>
            <w:gridSpan w:val="2"/>
          </w:tcPr>
          <w:p>
            <w:pPr>
              <w:jc w:val="right"/>
              <w:ind w:right="200"/>
              <w:spacing w:after="0"/>
              <w:rPr>
                <w:sz w:val="20"/>
                <w:szCs w:val="20"/>
                <w:color w:val="auto"/>
              </w:rPr>
            </w:pPr>
            <w:r>
              <w:rPr>
                <w:rFonts w:ascii="Arial" w:cs="Arial" w:eastAsia="Arial" w:hAnsi="Arial"/>
                <w:sz w:val="18"/>
                <w:szCs w:val="18"/>
                <w:color w:val="auto"/>
              </w:rPr>
              <w:t>1,104</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800" w:type="dxa"/>
            <w:vAlign w:val="bottom"/>
          </w:tcPr>
          <w:p>
            <w:pPr>
              <w:jc w:val="right"/>
              <w:spacing w:after="0"/>
              <w:rPr>
                <w:sz w:val="20"/>
                <w:szCs w:val="20"/>
                <w:color w:val="auto"/>
              </w:rPr>
            </w:pPr>
            <w:r>
              <w:rPr>
                <w:rFonts w:ascii="Arial" w:cs="Arial" w:eastAsia="Arial" w:hAnsi="Arial"/>
                <w:sz w:val="18"/>
                <w:szCs w:val="18"/>
                <w:color w:val="auto"/>
              </w:rPr>
              <w:t>1,036</w:t>
            </w:r>
          </w:p>
        </w:tc>
        <w:tc>
          <w:tcPr>
            <w:tcW w:w="280" w:type="dxa"/>
            <w:vAlign w:val="bottom"/>
          </w:tcPr>
          <w:p>
            <w:pPr>
              <w:spacing w:after="0"/>
              <w:rPr>
                <w:sz w:val="18"/>
                <w:szCs w:val="18"/>
                <w:color w:val="auto"/>
              </w:rPr>
            </w:pPr>
          </w:p>
        </w:tc>
        <w:tc>
          <w:tcPr>
            <w:tcW w:w="200" w:type="dxa"/>
            <w:vAlign w:val="bottom"/>
          </w:tcPr>
          <w:p>
            <w:pPr>
              <w:jc w:val="right"/>
              <w:ind w:right="45"/>
              <w:spacing w:after="0"/>
              <w:rPr>
                <w:sz w:val="20"/>
                <w:szCs w:val="20"/>
                <w:color w:val="auto"/>
              </w:rPr>
            </w:pPr>
            <w:r>
              <w:rPr>
                <w:rFonts w:ascii="Arial" w:cs="Arial" w:eastAsia="Arial" w:hAnsi="Arial"/>
                <w:sz w:val="15"/>
                <w:szCs w:val="15"/>
                <w:color w:val="auto"/>
                <w:w w:val="71"/>
              </w:rPr>
              <w:t>$</w:t>
            </w:r>
          </w:p>
        </w:tc>
        <w:tc>
          <w:tcPr>
            <w:tcW w:w="960" w:type="dxa"/>
            <w:vAlign w:val="bottom"/>
            <w:gridSpan w:val="2"/>
          </w:tcPr>
          <w:p>
            <w:pPr>
              <w:jc w:val="right"/>
              <w:ind w:right="160"/>
              <w:spacing w:after="0"/>
              <w:rPr>
                <w:sz w:val="20"/>
                <w:szCs w:val="20"/>
                <w:color w:val="auto"/>
              </w:rPr>
            </w:pPr>
            <w:r>
              <w:rPr>
                <w:rFonts w:ascii="Arial" w:cs="Arial" w:eastAsia="Arial" w:hAnsi="Arial"/>
                <w:sz w:val="18"/>
                <w:szCs w:val="18"/>
                <w:color w:val="auto"/>
              </w:rPr>
              <w:t>902</w:t>
            </w:r>
          </w:p>
        </w:tc>
      </w:tr>
      <w:tr>
        <w:trPr>
          <w:trHeight w:val="257"/>
        </w:trPr>
        <w:tc>
          <w:tcPr>
            <w:tcW w:w="5180" w:type="dxa"/>
            <w:vAlign w:val="bottom"/>
            <w:gridSpan w:val="2"/>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Tier 1 Basel III Capital Ratio </w:t>
            </w:r>
            <w:r>
              <w:rPr>
                <w:rFonts w:ascii="Arial" w:cs="Arial" w:eastAsia="Arial" w:hAnsi="Arial"/>
                <w:sz w:val="29"/>
                <w:szCs w:val="29"/>
                <w:color w:val="auto"/>
                <w:vertAlign w:val="superscript"/>
              </w:rPr>
              <w:t>(10)</w:t>
            </w:r>
          </w:p>
        </w:tc>
        <w:tc>
          <w:tcPr>
            <w:tcW w:w="18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15.9%</w:t>
            </w:r>
          </w:p>
        </w:tc>
        <w:tc>
          <w:tcPr>
            <w:tcW w:w="8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15.1%</w:t>
            </w:r>
          </w:p>
        </w:tc>
        <w:tc>
          <w:tcPr>
            <w:tcW w:w="200" w:type="dxa"/>
            <w:vAlign w:val="bottom"/>
            <w:shd w:val="clear" w:color="auto" w:fill="CCEEFF"/>
          </w:tcPr>
          <w:p>
            <w:pPr>
              <w:spacing w:after="0"/>
              <w:rPr>
                <w:sz w:val="22"/>
                <w:szCs w:val="22"/>
                <w:color w:val="auto"/>
              </w:rPr>
            </w:pPr>
          </w:p>
        </w:tc>
        <w:tc>
          <w:tcPr>
            <w:tcW w:w="10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15.9%</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15.6%</w:t>
            </w:r>
          </w:p>
        </w:tc>
        <w:tc>
          <w:tcPr>
            <w:tcW w:w="20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15.1%</w:t>
            </w:r>
          </w:p>
        </w:tc>
      </w:tr>
      <w:tr>
        <w:trPr>
          <w:trHeight w:val="257"/>
        </w:trPr>
        <w:tc>
          <w:tcPr>
            <w:tcW w:w="5180" w:type="dxa"/>
            <w:vAlign w:val="bottom"/>
            <w:gridSpan w:val="2"/>
          </w:tcPr>
          <w:p>
            <w:pPr>
              <w:ind w:left="180"/>
              <w:spacing w:after="0" w:line="256" w:lineRule="exact"/>
              <w:rPr>
                <w:sz w:val="20"/>
                <w:szCs w:val="20"/>
                <w:color w:val="auto"/>
              </w:rPr>
            </w:pPr>
            <w:r>
              <w:rPr>
                <w:rFonts w:ascii="Arial" w:cs="Arial" w:eastAsia="Arial" w:hAnsi="Arial"/>
                <w:sz w:val="18"/>
                <w:szCs w:val="18"/>
                <w:color w:val="auto"/>
              </w:rPr>
              <w:t xml:space="preserve">Leverage (times) </w:t>
            </w:r>
            <w:r>
              <w:rPr>
                <w:rFonts w:ascii="Arial" w:cs="Arial" w:eastAsia="Arial" w:hAnsi="Arial"/>
                <w:sz w:val="29"/>
                <w:szCs w:val="29"/>
                <w:color w:val="auto"/>
                <w:vertAlign w:val="superscript"/>
              </w:rPr>
              <w:t>(11)</w:t>
            </w:r>
          </w:p>
        </w:tc>
        <w:tc>
          <w:tcPr>
            <w:tcW w:w="180" w:type="dxa"/>
            <w:vAlign w:val="bottom"/>
          </w:tcPr>
          <w:p>
            <w:pPr>
              <w:spacing w:after="0"/>
              <w:rPr>
                <w:sz w:val="22"/>
                <w:szCs w:val="22"/>
                <w:color w:val="auto"/>
              </w:rPr>
            </w:pP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7.2</w:t>
            </w:r>
          </w:p>
        </w:tc>
        <w:tc>
          <w:tcPr>
            <w:tcW w:w="8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8.3</w:t>
            </w:r>
          </w:p>
        </w:tc>
        <w:tc>
          <w:tcPr>
            <w:tcW w:w="28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00" w:type="dxa"/>
            <w:vAlign w:val="bottom"/>
            <w:gridSpan w:val="2"/>
          </w:tcPr>
          <w:p>
            <w:pPr>
              <w:jc w:val="right"/>
              <w:ind w:right="200"/>
              <w:spacing w:after="0"/>
              <w:rPr>
                <w:sz w:val="20"/>
                <w:szCs w:val="20"/>
                <w:color w:val="auto"/>
              </w:rPr>
            </w:pPr>
            <w:r>
              <w:rPr>
                <w:rFonts w:ascii="Arial" w:cs="Arial" w:eastAsia="Arial" w:hAnsi="Arial"/>
                <w:sz w:val="18"/>
                <w:szCs w:val="18"/>
                <w:color w:val="auto"/>
              </w:rPr>
              <w:t>7.2</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7.7</w:t>
            </w:r>
          </w:p>
        </w:tc>
        <w:tc>
          <w:tcPr>
            <w:tcW w:w="28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960" w:type="dxa"/>
            <w:vAlign w:val="bottom"/>
            <w:gridSpan w:val="2"/>
          </w:tcPr>
          <w:p>
            <w:pPr>
              <w:jc w:val="right"/>
              <w:ind w:right="160"/>
              <w:spacing w:after="0"/>
              <w:rPr>
                <w:sz w:val="20"/>
                <w:szCs w:val="20"/>
                <w:color w:val="auto"/>
              </w:rPr>
            </w:pPr>
            <w:r>
              <w:rPr>
                <w:rFonts w:ascii="Arial" w:cs="Arial" w:eastAsia="Arial" w:hAnsi="Arial"/>
                <w:sz w:val="18"/>
                <w:szCs w:val="18"/>
                <w:color w:val="auto"/>
              </w:rPr>
              <w:t>8.3</w:t>
            </w:r>
          </w:p>
        </w:tc>
      </w:tr>
      <w:tr>
        <w:trPr>
          <w:trHeight w:val="257"/>
        </w:trPr>
        <w:tc>
          <w:tcPr>
            <w:tcW w:w="5180" w:type="dxa"/>
            <w:vAlign w:val="bottom"/>
            <w:gridSpan w:val="2"/>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Liquid Assets / Total Assets </w:t>
            </w:r>
            <w:r>
              <w:rPr>
                <w:rFonts w:ascii="Arial" w:cs="Arial" w:eastAsia="Arial" w:hAnsi="Arial"/>
                <w:sz w:val="29"/>
                <w:szCs w:val="29"/>
                <w:color w:val="auto"/>
                <w:vertAlign w:val="superscript"/>
              </w:rPr>
              <w:t>(12)</w:t>
            </w:r>
          </w:p>
        </w:tc>
        <w:tc>
          <w:tcPr>
            <w:tcW w:w="18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9.9%</w:t>
            </w:r>
          </w:p>
        </w:tc>
        <w:tc>
          <w:tcPr>
            <w:tcW w:w="8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10.9%</w:t>
            </w:r>
          </w:p>
        </w:tc>
        <w:tc>
          <w:tcPr>
            <w:tcW w:w="200" w:type="dxa"/>
            <w:vAlign w:val="bottom"/>
            <w:shd w:val="clear" w:color="auto" w:fill="CCEEFF"/>
          </w:tcPr>
          <w:p>
            <w:pPr>
              <w:spacing w:after="0"/>
              <w:rPr>
                <w:sz w:val="22"/>
                <w:szCs w:val="22"/>
                <w:color w:val="auto"/>
              </w:rPr>
            </w:pPr>
          </w:p>
        </w:tc>
        <w:tc>
          <w:tcPr>
            <w:tcW w:w="10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9.9%</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11.9%</w:t>
            </w:r>
          </w:p>
        </w:tc>
        <w:tc>
          <w:tcPr>
            <w:tcW w:w="200" w:type="dxa"/>
            <w:vAlign w:val="bottom"/>
            <w:shd w:val="clear" w:color="auto" w:fill="CCEEFF"/>
          </w:tcPr>
          <w:p>
            <w:pPr>
              <w:spacing w:after="0"/>
              <w:rPr>
                <w:sz w:val="22"/>
                <w:szCs w:val="22"/>
                <w:color w:val="auto"/>
              </w:rPr>
            </w:pP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10.9%</w:t>
            </w:r>
          </w:p>
        </w:tc>
      </w:tr>
      <w:tr>
        <w:trPr>
          <w:trHeight w:val="216"/>
        </w:trPr>
        <w:tc>
          <w:tcPr>
            <w:tcW w:w="5180" w:type="dxa"/>
            <w:vAlign w:val="bottom"/>
            <w:gridSpan w:val="2"/>
          </w:tcPr>
          <w:p>
            <w:pPr>
              <w:ind w:left="180"/>
              <w:spacing w:after="0"/>
              <w:rPr>
                <w:sz w:val="20"/>
                <w:szCs w:val="20"/>
                <w:color w:val="auto"/>
              </w:rPr>
            </w:pPr>
            <w:r>
              <w:rPr>
                <w:rFonts w:ascii="Arial" w:cs="Arial" w:eastAsia="Arial" w:hAnsi="Arial"/>
                <w:sz w:val="18"/>
                <w:szCs w:val="18"/>
                <w:color w:val="auto"/>
              </w:rPr>
              <w:t>NPL to gross loan portfolio</w:t>
            </w:r>
          </w:p>
        </w:tc>
        <w:tc>
          <w:tcPr>
            <w:tcW w:w="180" w:type="dxa"/>
            <w:vAlign w:val="bottom"/>
          </w:tcPr>
          <w:p>
            <w:pPr>
              <w:spacing w:after="0"/>
              <w:rPr>
                <w:sz w:val="18"/>
                <w:szCs w:val="18"/>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1.31%</w:t>
            </w: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0.31%</w:t>
            </w:r>
          </w:p>
        </w:tc>
        <w:tc>
          <w:tcPr>
            <w:tcW w:w="200" w:type="dxa"/>
            <w:vAlign w:val="bottom"/>
          </w:tcPr>
          <w:p>
            <w:pPr>
              <w:spacing w:after="0"/>
              <w:rPr>
                <w:sz w:val="18"/>
                <w:szCs w:val="18"/>
                <w:color w:val="auto"/>
              </w:rPr>
            </w:pPr>
          </w:p>
        </w:tc>
        <w:tc>
          <w:tcPr>
            <w:tcW w:w="1000" w:type="dxa"/>
            <w:vAlign w:val="bottom"/>
            <w:gridSpan w:val="2"/>
          </w:tcPr>
          <w:p>
            <w:pPr>
              <w:jc w:val="right"/>
              <w:ind w:right="60"/>
              <w:spacing w:after="0"/>
              <w:rPr>
                <w:sz w:val="20"/>
                <w:szCs w:val="20"/>
                <w:color w:val="auto"/>
              </w:rPr>
            </w:pPr>
            <w:r>
              <w:rPr>
                <w:rFonts w:ascii="Arial" w:cs="Arial" w:eastAsia="Arial" w:hAnsi="Arial"/>
                <w:sz w:val="18"/>
                <w:szCs w:val="18"/>
                <w:color w:val="auto"/>
              </w:rPr>
              <w:t>1.31%</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color w:val="auto"/>
              </w:rPr>
              <w:t>1.30%</w:t>
            </w:r>
          </w:p>
        </w:tc>
        <w:tc>
          <w:tcPr>
            <w:tcW w:w="200" w:type="dxa"/>
            <w:vAlign w:val="bottom"/>
          </w:tcPr>
          <w:p>
            <w:pPr>
              <w:spacing w:after="0"/>
              <w:rPr>
                <w:sz w:val="18"/>
                <w:szCs w:val="18"/>
                <w:color w:val="auto"/>
              </w:rPr>
            </w:pPr>
          </w:p>
        </w:tc>
        <w:tc>
          <w:tcPr>
            <w:tcW w:w="960" w:type="dxa"/>
            <w:vAlign w:val="bottom"/>
            <w:gridSpan w:val="2"/>
          </w:tcPr>
          <w:p>
            <w:pPr>
              <w:jc w:val="right"/>
              <w:ind w:right="20"/>
              <w:spacing w:after="0"/>
              <w:rPr>
                <w:sz w:val="20"/>
                <w:szCs w:val="20"/>
                <w:color w:val="auto"/>
              </w:rPr>
            </w:pPr>
            <w:r>
              <w:rPr>
                <w:rFonts w:ascii="Arial" w:cs="Arial" w:eastAsia="Arial" w:hAnsi="Arial"/>
                <w:sz w:val="18"/>
                <w:szCs w:val="18"/>
                <w:color w:val="auto"/>
              </w:rPr>
              <w:t>0.31%</w:t>
            </w:r>
          </w:p>
        </w:tc>
      </w:tr>
      <w:tr>
        <w:trPr>
          <w:trHeight w:val="202"/>
        </w:trPr>
        <w:tc>
          <w:tcPr>
            <w:tcW w:w="5180" w:type="dxa"/>
            <w:vAlign w:val="bottom"/>
            <w:gridSpan w:val="2"/>
            <w:shd w:val="clear" w:color="auto" w:fill="CCEEFF"/>
          </w:tcPr>
          <w:p>
            <w:pPr>
              <w:ind w:left="180"/>
              <w:spacing w:after="0" w:line="201" w:lineRule="exact"/>
              <w:rPr>
                <w:sz w:val="20"/>
                <w:szCs w:val="20"/>
                <w:color w:val="auto"/>
              </w:rPr>
            </w:pPr>
            <w:r>
              <w:rPr>
                <w:rFonts w:ascii="Arial" w:cs="Arial" w:eastAsia="Arial" w:hAnsi="Arial"/>
                <w:sz w:val="18"/>
                <w:szCs w:val="18"/>
                <w:color w:val="auto"/>
                <w:w w:val="97"/>
              </w:rPr>
              <w:t>Total allowance for expected credit losses on loans at amortized</w:t>
            </w:r>
          </w:p>
        </w:tc>
        <w:tc>
          <w:tcPr>
            <w:tcW w:w="18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r>
      <w:tr>
        <w:trPr>
          <w:trHeight w:val="230"/>
        </w:trPr>
        <w:tc>
          <w:tcPr>
            <w:tcW w:w="518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cost and off-balance sheet credit risk to Commercial Portfolio</w:t>
            </w:r>
          </w:p>
        </w:tc>
        <w:tc>
          <w:tcPr>
            <w:tcW w:w="180" w:type="dxa"/>
            <w:vAlign w:val="bottom"/>
            <w:shd w:val="clear" w:color="auto" w:fill="CCEEFF"/>
          </w:tcPr>
          <w:p>
            <w:pPr>
              <w:spacing w:after="0"/>
              <w:rPr>
                <w:sz w:val="20"/>
                <w:szCs w:val="20"/>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1.67%</w:t>
            </w:r>
          </w:p>
        </w:tc>
        <w:tc>
          <w:tcPr>
            <w:tcW w:w="8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1.38%</w:t>
            </w:r>
          </w:p>
        </w:tc>
        <w:tc>
          <w:tcPr>
            <w:tcW w:w="200" w:type="dxa"/>
            <w:vAlign w:val="bottom"/>
            <w:shd w:val="clear" w:color="auto" w:fill="CCEEFF"/>
          </w:tcPr>
          <w:p>
            <w:pPr>
              <w:spacing w:after="0"/>
              <w:rPr>
                <w:sz w:val="20"/>
                <w:szCs w:val="20"/>
                <w:color w:val="auto"/>
              </w:rPr>
            </w:pPr>
          </w:p>
        </w:tc>
        <w:tc>
          <w:tcPr>
            <w:tcW w:w="10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1.67%</w:t>
            </w:r>
          </w:p>
        </w:tc>
        <w:tc>
          <w:tcPr>
            <w:tcW w:w="6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1.60%</w:t>
            </w:r>
          </w:p>
        </w:tc>
        <w:tc>
          <w:tcPr>
            <w:tcW w:w="200" w:type="dxa"/>
            <w:vAlign w:val="bottom"/>
            <w:shd w:val="clear" w:color="auto" w:fill="CCEEFF"/>
          </w:tcPr>
          <w:p>
            <w:pPr>
              <w:spacing w:after="0"/>
              <w:rPr>
                <w:sz w:val="20"/>
                <w:szCs w:val="20"/>
                <w:color w:val="auto"/>
              </w:rPr>
            </w:pPr>
          </w:p>
        </w:tc>
        <w:tc>
          <w:tcPr>
            <w:tcW w:w="9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1.38%</w:t>
            </w:r>
          </w:p>
        </w:tc>
      </w:tr>
      <w:tr>
        <w:trPr>
          <w:trHeight w:val="202"/>
        </w:trPr>
        <w:tc>
          <w:tcPr>
            <w:tcW w:w="5180" w:type="dxa"/>
            <w:vAlign w:val="bottom"/>
            <w:gridSpan w:val="2"/>
          </w:tcPr>
          <w:p>
            <w:pPr>
              <w:ind w:left="180"/>
              <w:spacing w:after="0" w:line="201" w:lineRule="exact"/>
              <w:rPr>
                <w:sz w:val="20"/>
                <w:szCs w:val="20"/>
                <w:color w:val="auto"/>
              </w:rPr>
            </w:pPr>
            <w:r>
              <w:rPr>
                <w:rFonts w:ascii="Arial" w:cs="Arial" w:eastAsia="Arial" w:hAnsi="Arial"/>
                <w:sz w:val="18"/>
                <w:szCs w:val="18"/>
                <w:color w:val="auto"/>
                <w:w w:val="97"/>
              </w:rPr>
              <w:t>Total allowance for expected credit losses on loans at amortized</w:t>
            </w:r>
          </w:p>
        </w:tc>
        <w:tc>
          <w:tcPr>
            <w:tcW w:w="18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160" w:type="dxa"/>
            <w:vAlign w:val="bottom"/>
          </w:tcPr>
          <w:p>
            <w:pPr>
              <w:spacing w:after="0"/>
              <w:rPr>
                <w:sz w:val="17"/>
                <w:szCs w:val="17"/>
                <w:color w:val="auto"/>
              </w:rPr>
            </w:pPr>
          </w:p>
        </w:tc>
      </w:tr>
      <w:tr>
        <w:trPr>
          <w:trHeight w:val="230"/>
        </w:trPr>
        <w:tc>
          <w:tcPr>
            <w:tcW w:w="5180" w:type="dxa"/>
            <w:vAlign w:val="bottom"/>
            <w:gridSpan w:val="2"/>
          </w:tcPr>
          <w:p>
            <w:pPr>
              <w:ind w:left="180"/>
              <w:spacing w:after="0"/>
              <w:rPr>
                <w:sz w:val="20"/>
                <w:szCs w:val="20"/>
                <w:color w:val="auto"/>
              </w:rPr>
            </w:pPr>
            <w:r>
              <w:rPr>
                <w:rFonts w:ascii="Arial" w:cs="Arial" w:eastAsia="Arial" w:hAnsi="Arial"/>
                <w:sz w:val="18"/>
                <w:szCs w:val="18"/>
                <w:color w:val="auto"/>
              </w:rPr>
              <w:t>cost and off-balance sheet credit risk to NPL (times)</w:t>
            </w:r>
          </w:p>
        </w:tc>
        <w:tc>
          <w:tcPr>
            <w:tcW w:w="180" w:type="dxa"/>
            <w:vAlign w:val="bottom"/>
          </w:tcPr>
          <w:p>
            <w:pPr>
              <w:spacing w:after="0"/>
              <w:rPr>
                <w:sz w:val="20"/>
                <w:szCs w:val="20"/>
                <w:color w:val="auto"/>
              </w:rPr>
            </w:pP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1.3</w:t>
            </w:r>
          </w:p>
        </w:tc>
        <w:tc>
          <w:tcPr>
            <w:tcW w:w="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4.8</w:t>
            </w:r>
          </w:p>
        </w:tc>
        <w:tc>
          <w:tcPr>
            <w:tcW w:w="2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00" w:type="dxa"/>
            <w:vAlign w:val="bottom"/>
            <w:gridSpan w:val="2"/>
          </w:tcPr>
          <w:p>
            <w:pPr>
              <w:jc w:val="right"/>
              <w:ind w:right="200"/>
              <w:spacing w:after="0"/>
              <w:rPr>
                <w:sz w:val="20"/>
                <w:szCs w:val="20"/>
                <w:color w:val="auto"/>
              </w:rPr>
            </w:pPr>
            <w:r>
              <w:rPr>
                <w:rFonts w:ascii="Arial" w:cs="Arial" w:eastAsia="Arial" w:hAnsi="Arial"/>
                <w:sz w:val="18"/>
                <w:szCs w:val="18"/>
                <w:color w:val="auto"/>
              </w:rPr>
              <w:t>1.3</w:t>
            </w: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1.3</w:t>
            </w:r>
          </w:p>
        </w:tc>
        <w:tc>
          <w:tcPr>
            <w:tcW w:w="2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60" w:type="dxa"/>
            <w:vAlign w:val="bottom"/>
            <w:gridSpan w:val="2"/>
          </w:tcPr>
          <w:p>
            <w:pPr>
              <w:jc w:val="right"/>
              <w:ind w:right="160"/>
              <w:spacing w:after="0"/>
              <w:rPr>
                <w:sz w:val="20"/>
                <w:szCs w:val="20"/>
                <w:color w:val="auto"/>
              </w:rPr>
            </w:pPr>
            <w:r>
              <w:rPr>
                <w:rFonts w:ascii="Arial" w:cs="Arial" w:eastAsia="Arial" w:hAnsi="Arial"/>
                <w:sz w:val="18"/>
                <w:szCs w:val="18"/>
                <w:color w:val="auto"/>
              </w:rPr>
              <w:t>4.8</w:t>
            </w:r>
          </w:p>
        </w:tc>
      </w:tr>
      <w:tr>
        <w:trPr>
          <w:trHeight w:val="675"/>
        </w:trPr>
        <w:tc>
          <w:tcPr>
            <w:tcW w:w="50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31" w:right="239" w:bottom="1440" w:gutter="0" w:footer="0" w:header="0"/>
        </w:sectPr>
      </w:pPr>
    </w:p>
    <w:bookmarkStart w:id="3" w:name="page4"/>
    <w:bookmarkEnd w:id="3"/>
    <w:p>
      <w:pPr>
        <w:spacing w:after="0"/>
        <w:rPr>
          <w:sz w:val="20"/>
          <w:szCs w:val="20"/>
          <w:color w:val="auto"/>
        </w:rPr>
      </w:pPr>
      <w:r>
        <w:rPr>
          <w:rFonts w:ascii="Arial" w:cs="Arial" w:eastAsia="Arial" w:hAnsi="Arial"/>
          <w:sz w:val="18"/>
          <w:szCs w:val="18"/>
          <w:b w:val="1"/>
          <w:bCs w:val="1"/>
          <w:color w:val="auto"/>
        </w:rPr>
        <w:t>3Q16 and 9M16 Highlights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Reported results:</w:t>
      </w:r>
    </w:p>
    <w:p>
      <w:pPr>
        <w:spacing w:after="0" w:line="229" w:lineRule="exact"/>
        <w:rPr>
          <w:sz w:val="20"/>
          <w:szCs w:val="20"/>
          <w:color w:val="auto"/>
        </w:rPr>
      </w:pPr>
    </w:p>
    <w:p>
      <w:pPr>
        <w:ind w:left="200" w:right="20" w:hanging="192"/>
        <w:spacing w:after="0" w:line="342" w:lineRule="auto"/>
        <w:tabs>
          <w:tab w:leader="none" w:pos="200" w:val="left"/>
        </w:tabs>
        <w:numPr>
          <w:ilvl w:val="0"/>
          <w:numId w:val="1"/>
        </w:numPr>
        <w:rPr>
          <w:rFonts w:ascii="Arial" w:cs="Arial" w:eastAsia="Arial" w:hAnsi="Arial"/>
          <w:sz w:val="16"/>
          <w:szCs w:val="16"/>
          <w:color w:val="auto"/>
        </w:rPr>
      </w:pPr>
      <w:r>
        <w:rPr>
          <w:rFonts w:ascii="Arial" w:cs="Arial" w:eastAsia="Arial" w:hAnsi="Arial"/>
          <w:sz w:val="16"/>
          <w:szCs w:val="16"/>
          <w:color w:val="auto"/>
        </w:rPr>
        <w:t>Bladex’s 3Q16 Profit totaled $28.0 million (+26% QoQ, -25% YoY). Business Profit increased 27% QoQ, mainly on higher net interest income, along with lower QoQ provisions for expected credit losses, but decreased 8% YoY as higher net interest income was offset by lower fees and other income.</w:t>
      </w:r>
    </w:p>
    <w:p>
      <w:pPr>
        <w:spacing w:after="0" w:line="123" w:lineRule="exact"/>
        <w:rPr>
          <w:rFonts w:ascii="Arial" w:cs="Arial" w:eastAsia="Arial" w:hAnsi="Arial"/>
          <w:sz w:val="16"/>
          <w:szCs w:val="16"/>
          <w:color w:val="auto"/>
        </w:rPr>
      </w:pPr>
    </w:p>
    <w:p>
      <w:pPr>
        <w:jc w:val="both"/>
        <w:ind w:left="200" w:hanging="192"/>
        <w:spacing w:after="0" w:line="264" w:lineRule="auto"/>
        <w:tabs>
          <w:tab w:leader="none" w:pos="200" w:val="left"/>
        </w:tabs>
        <w:numPr>
          <w:ilvl w:val="0"/>
          <w:numId w:val="1"/>
        </w:numPr>
        <w:rPr>
          <w:rFonts w:ascii="Arial" w:cs="Arial" w:eastAsia="Arial" w:hAnsi="Arial"/>
          <w:sz w:val="18"/>
          <w:szCs w:val="18"/>
          <w:color w:val="auto"/>
        </w:rPr>
      </w:pPr>
      <w:r>
        <w:rPr>
          <w:rFonts w:ascii="Arial" w:cs="Arial" w:eastAsia="Arial" w:hAnsi="Arial"/>
          <w:sz w:val="18"/>
          <w:szCs w:val="18"/>
          <w:color w:val="auto"/>
        </w:rPr>
        <w:t>The Bank’s 9M16 Profit totaled $73.7 million (-9% YoY), mainly as a result of a swing in non-core results (-$4.4 million in 9M16 vs +$7.0 million recorded in the same period 2015), while Business Profit increased 6% YoY to $78.1 million, driven by higher net interest income and improved operating efficiency which was partially offset by higher provisions for expected credit losses and lower fees from letters of credit.</w:t>
      </w:r>
    </w:p>
    <w:p>
      <w:pPr>
        <w:spacing w:after="0" w:line="181" w:lineRule="exact"/>
        <w:rPr>
          <w:rFonts w:ascii="Arial" w:cs="Arial" w:eastAsia="Arial" w:hAnsi="Arial"/>
          <w:sz w:val="18"/>
          <w:szCs w:val="18"/>
          <w:color w:val="auto"/>
        </w:rPr>
      </w:pPr>
    </w:p>
    <w:p>
      <w:pPr>
        <w:jc w:val="both"/>
        <w:ind w:left="200" w:hanging="192"/>
        <w:spacing w:after="0" w:line="264" w:lineRule="auto"/>
        <w:tabs>
          <w:tab w:leader="none" w:pos="200" w:val="left"/>
        </w:tabs>
        <w:numPr>
          <w:ilvl w:val="0"/>
          <w:numId w:val="1"/>
        </w:numPr>
        <w:rPr>
          <w:rFonts w:ascii="Arial" w:cs="Arial" w:eastAsia="Arial" w:hAnsi="Arial"/>
          <w:sz w:val="18"/>
          <w:szCs w:val="18"/>
          <w:color w:val="auto"/>
        </w:rPr>
      </w:pPr>
      <w:r>
        <w:rPr>
          <w:rFonts w:ascii="Arial" w:cs="Arial" w:eastAsia="Arial" w:hAnsi="Arial"/>
          <w:sz w:val="18"/>
          <w:szCs w:val="18"/>
          <w:color w:val="auto"/>
        </w:rPr>
        <w:t>3Q16 and 9M16 Net Interest Income reached $39.8 million (+4% QoQ, +7% YoY) and $117.5 million (+9% YoY), respectively, on higher Net Interest Margin (2.13% in 3Q16, or +7 bps QoQ, +30 bps YoY and 2.08% in 9M16, or +26 bps YoY), mainly reflecting higher average lending spreads and the effects of increased market rates.</w:t>
      </w:r>
    </w:p>
    <w:p>
      <w:pPr>
        <w:spacing w:after="0" w:line="17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Key performance metrics:</w:t>
      </w:r>
    </w:p>
    <w:p>
      <w:pPr>
        <w:spacing w:after="0" w:line="229" w:lineRule="exact"/>
        <w:rPr>
          <w:sz w:val="20"/>
          <w:szCs w:val="20"/>
          <w:color w:val="auto"/>
        </w:rPr>
      </w:pPr>
    </w:p>
    <w:p>
      <w:pPr>
        <w:ind w:left="200" w:hanging="192"/>
        <w:spacing w:after="0" w:line="277" w:lineRule="auto"/>
        <w:tabs>
          <w:tab w:leader="none" w:pos="200" w:val="left"/>
        </w:tabs>
        <w:numPr>
          <w:ilvl w:val="0"/>
          <w:numId w:val="2"/>
        </w:numPr>
        <w:rPr>
          <w:rFonts w:ascii="Arial" w:cs="Arial" w:eastAsia="Arial" w:hAnsi="Arial"/>
          <w:sz w:val="18"/>
          <w:szCs w:val="18"/>
          <w:color w:val="auto"/>
        </w:rPr>
      </w:pPr>
      <w:r>
        <w:rPr>
          <w:rFonts w:ascii="Arial" w:cs="Arial" w:eastAsia="Arial" w:hAnsi="Arial"/>
          <w:sz w:val="18"/>
          <w:szCs w:val="18"/>
          <w:color w:val="auto"/>
        </w:rPr>
        <w:t>The 3Q16 Annualized Return on Average Equity (“ROAE”) reached 11.2%. Year-to-date 2016 ROAE and Business ROAE reached 10.0% and 10.6%, compared to 11.5% and 10.5% in the 9M15, respectively.</w:t>
      </w:r>
    </w:p>
    <w:p>
      <w:pPr>
        <w:spacing w:after="0" w:line="170" w:lineRule="exact"/>
        <w:rPr>
          <w:rFonts w:ascii="Arial" w:cs="Arial" w:eastAsia="Arial" w:hAnsi="Arial"/>
          <w:sz w:val="18"/>
          <w:szCs w:val="18"/>
          <w:color w:val="auto"/>
        </w:rPr>
      </w:pPr>
    </w:p>
    <w:p>
      <w:pPr>
        <w:ind w:left="200" w:hanging="192"/>
        <w:spacing w:after="0" w:line="277" w:lineRule="auto"/>
        <w:tabs>
          <w:tab w:leader="none" w:pos="200" w:val="left"/>
        </w:tabs>
        <w:numPr>
          <w:ilvl w:val="0"/>
          <w:numId w:val="2"/>
        </w:numPr>
        <w:rPr>
          <w:rFonts w:ascii="Arial" w:cs="Arial" w:eastAsia="Arial" w:hAnsi="Arial"/>
          <w:sz w:val="18"/>
          <w:szCs w:val="18"/>
          <w:color w:val="auto"/>
        </w:rPr>
      </w:pPr>
      <w:r>
        <w:rPr>
          <w:rFonts w:ascii="Arial" w:cs="Arial" w:eastAsia="Arial" w:hAnsi="Arial"/>
          <w:sz w:val="18"/>
          <w:szCs w:val="18"/>
          <w:color w:val="auto"/>
        </w:rPr>
        <w:t>The year-to-date 2016 Efficiency and Business Efficiency Ratios improved to 27% (-3 pts. YoY) and 26% (-5 pts. YoY), respectively, on robust income levels and lower operating expenses. Both Efficiency Ratios stood at 26% for 3Q16.</w:t>
      </w:r>
    </w:p>
    <w:p>
      <w:pPr>
        <w:spacing w:after="0" w:line="170" w:lineRule="exact"/>
        <w:rPr>
          <w:rFonts w:ascii="Arial" w:cs="Arial" w:eastAsia="Arial" w:hAnsi="Arial"/>
          <w:sz w:val="18"/>
          <w:szCs w:val="18"/>
          <w:color w:val="auto"/>
        </w:rPr>
      </w:pPr>
    </w:p>
    <w:p>
      <w:pPr>
        <w:ind w:left="200" w:right="20" w:hanging="192"/>
        <w:spacing w:after="0" w:line="277" w:lineRule="auto"/>
        <w:tabs>
          <w:tab w:leader="none" w:pos="200" w:val="left"/>
        </w:tabs>
        <w:numPr>
          <w:ilvl w:val="0"/>
          <w:numId w:val="2"/>
        </w:numPr>
        <w:rPr>
          <w:rFonts w:ascii="Arial" w:cs="Arial" w:eastAsia="Arial" w:hAnsi="Arial"/>
          <w:sz w:val="18"/>
          <w:szCs w:val="18"/>
          <w:color w:val="auto"/>
        </w:rPr>
      </w:pPr>
      <w:r>
        <w:rPr>
          <w:rFonts w:ascii="Arial" w:cs="Arial" w:eastAsia="Arial" w:hAnsi="Arial"/>
          <w:sz w:val="18"/>
          <w:szCs w:val="18"/>
          <w:color w:val="auto"/>
        </w:rPr>
        <w:t>Tier 1 Basel III Capital Ratio stood at 15.9% as of September 30, 2016, compared to 15.6% a quarter ago, and 15.1% a year ago, on higher Tier 1 Capital balance and lower risk-weighted assets compared to a year ago.</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Commercial Portfolio &amp; Quality:</w:t>
      </w:r>
    </w:p>
    <w:p>
      <w:pPr>
        <w:spacing w:after="0" w:line="229" w:lineRule="exact"/>
        <w:rPr>
          <w:sz w:val="20"/>
          <w:szCs w:val="20"/>
          <w:color w:val="auto"/>
        </w:rPr>
      </w:pPr>
    </w:p>
    <w:p>
      <w:pPr>
        <w:jc w:val="both"/>
        <w:ind w:left="200" w:hanging="192"/>
        <w:spacing w:after="0" w:line="259" w:lineRule="auto"/>
        <w:tabs>
          <w:tab w:leader="none" w:pos="200" w:val="left"/>
        </w:tabs>
        <w:numPr>
          <w:ilvl w:val="0"/>
          <w:numId w:val="3"/>
        </w:numPr>
        <w:rPr>
          <w:rFonts w:ascii="Arial" w:cs="Arial" w:eastAsia="Arial" w:hAnsi="Arial"/>
          <w:sz w:val="18"/>
          <w:szCs w:val="18"/>
          <w:color w:val="auto"/>
        </w:rPr>
      </w:pPr>
      <w:r>
        <w:rPr>
          <w:rFonts w:ascii="Arial" w:cs="Arial" w:eastAsia="Arial" w:hAnsi="Arial"/>
          <w:sz w:val="18"/>
          <w:szCs w:val="18"/>
          <w:color w:val="auto"/>
        </w:rPr>
        <w:t>Average Commercial Portfolio balance reached $6.8 billion in the third quarter (+1% QoQ, -5% YoY) and in first nine months 2016 (-4% YoY), while end-of-period Commercial Portfolio balances stood at $6.7 billion as of September 30, 2016 (-1% QoQ, -6% YoY). The Bank continued with its approach to rebalance its credit exposure profile, emphasizing short-term trade finance exposures, along with reducing certain country, industry and client risk concentrations.</w:t>
      </w:r>
    </w:p>
    <w:p>
      <w:pPr>
        <w:spacing w:after="0" w:line="186" w:lineRule="exact"/>
        <w:rPr>
          <w:rFonts w:ascii="Arial" w:cs="Arial" w:eastAsia="Arial" w:hAnsi="Arial"/>
          <w:sz w:val="18"/>
          <w:szCs w:val="18"/>
          <w:color w:val="auto"/>
        </w:rPr>
      </w:pPr>
    </w:p>
    <w:p>
      <w:pPr>
        <w:jc w:val="both"/>
        <w:ind w:left="200" w:hanging="192"/>
        <w:spacing w:after="0" w:line="264" w:lineRule="auto"/>
        <w:tabs>
          <w:tab w:leader="none" w:pos="200" w:val="left"/>
        </w:tabs>
        <w:numPr>
          <w:ilvl w:val="0"/>
          <w:numId w:val="3"/>
        </w:numPr>
        <w:rPr>
          <w:rFonts w:ascii="Arial" w:cs="Arial" w:eastAsia="Arial" w:hAnsi="Arial"/>
          <w:sz w:val="18"/>
          <w:szCs w:val="18"/>
          <w:color w:val="auto"/>
        </w:rPr>
      </w:pPr>
      <w:r>
        <w:rPr>
          <w:rFonts w:ascii="Arial" w:cs="Arial" w:eastAsia="Arial" w:hAnsi="Arial"/>
          <w:sz w:val="18"/>
          <w:szCs w:val="18"/>
          <w:color w:val="auto"/>
        </w:rPr>
        <w:t>Non-performing loans (“NPL”) remained stable at $83.8 million, or 1.31% of the total Loan Portfolio as of September 30, 2016, compared to $84.7 million, or 1.30%, a quarter ago, while the total allowance for credit losses stood at 1.67% of total Commercial Portfolio ending balances (+7 bps QoQ, +29 bps YoY), representing an amount equivalent to 1.3 times the NPL balances.</w:t>
      </w:r>
    </w:p>
    <w:p>
      <w:pPr>
        <w:spacing w:after="0" w:line="17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CEO’s Comments</w:t>
      </w:r>
    </w:p>
    <w:p>
      <w:pPr>
        <w:spacing w:after="0" w:line="229" w:lineRule="exact"/>
        <w:rPr>
          <w:sz w:val="20"/>
          <w:szCs w:val="20"/>
          <w:color w:val="auto"/>
        </w:rPr>
      </w:pPr>
    </w:p>
    <w:p>
      <w:pPr>
        <w:jc w:val="both"/>
        <w:spacing w:after="0" w:line="270" w:lineRule="auto"/>
        <w:rPr>
          <w:sz w:val="20"/>
          <w:szCs w:val="20"/>
          <w:color w:val="auto"/>
        </w:rPr>
      </w:pPr>
      <w:r>
        <w:rPr>
          <w:rFonts w:ascii="Arial" w:cs="Arial" w:eastAsia="Arial" w:hAnsi="Arial"/>
          <w:sz w:val="17"/>
          <w:szCs w:val="17"/>
          <w:color w:val="auto"/>
        </w:rPr>
        <w:t xml:space="preserve">Mr. Rubens V. Amaral Jr., Bladex’s Chief Executive Officer, stated the following regarding the Bank’s 3Q16 and 9M16 results: </w:t>
      </w:r>
      <w:r>
        <w:rPr>
          <w:rFonts w:ascii="Arial" w:cs="Arial" w:eastAsia="Arial" w:hAnsi="Arial"/>
          <w:sz w:val="17"/>
          <w:szCs w:val="17"/>
          <w:i w:val="1"/>
          <w:iCs w:val="1"/>
          <w:color w:val="auto"/>
        </w:rPr>
        <w:t>“Core operating trends</w:t>
      </w:r>
      <w:r>
        <w:rPr>
          <w:rFonts w:ascii="Arial" w:cs="Arial" w:eastAsia="Arial" w:hAnsi="Arial"/>
          <w:sz w:val="17"/>
          <w:szCs w:val="17"/>
          <w:color w:val="auto"/>
        </w:rPr>
        <w:t xml:space="preserve"> </w:t>
      </w:r>
      <w:r>
        <w:rPr>
          <w:rFonts w:ascii="Arial" w:cs="Arial" w:eastAsia="Arial" w:hAnsi="Arial"/>
          <w:sz w:val="17"/>
          <w:szCs w:val="17"/>
          <w:i w:val="1"/>
          <w:iCs w:val="1"/>
          <w:color w:val="auto"/>
        </w:rPr>
        <w:t>strengthened considerably during the third quarter, while credit quality remained stable. Nevertheless, the business environment continued to be challenging, limiting the scope for accelerated portfolio growth, as average quarterly portfolio balances increased marginally, while lending and net interest margins continued to improve, benefitting from robust pricing levels and increasing underlying market rates. Top line revenues rose moderately QoQ as higher net interest income compensated lower commission income, with several syndication transactions slated for completion in the fourth quarter. Our floating rate based business allows for instant re-pricing of our book as underlying market rates move, with minimal impact from interest rate or currency risk, and our funding structure continues to be not only very cost efficient, but ever more stable, as we increased deposits in the funding portfolio mix, made judicious use of abundantly available short term funding and accessed new markets placing medium term debt during the quarter to further strengthen structural resilience and diversification of our funding base. Expenses remain well under control, with efficiency ratio at 26% for 3Q16.</w:t>
      </w:r>
    </w:p>
    <w:p>
      <w:pPr>
        <w:spacing w:after="0" w:line="182" w:lineRule="exact"/>
        <w:rPr>
          <w:sz w:val="20"/>
          <w:szCs w:val="20"/>
          <w:color w:val="auto"/>
        </w:rPr>
      </w:pPr>
    </w:p>
    <w:p>
      <w:pPr>
        <w:jc w:val="both"/>
        <w:spacing w:after="0" w:line="269" w:lineRule="auto"/>
        <w:rPr>
          <w:sz w:val="20"/>
          <w:szCs w:val="20"/>
          <w:color w:val="auto"/>
        </w:rPr>
      </w:pPr>
      <w:r>
        <w:rPr>
          <w:rFonts w:ascii="Arial" w:cs="Arial" w:eastAsia="Arial" w:hAnsi="Arial"/>
          <w:sz w:val="17"/>
          <w:szCs w:val="17"/>
          <w:i w:val="1"/>
          <w:iCs w:val="1"/>
          <w:color w:val="auto"/>
        </w:rPr>
        <w:t>We surpassed the $1 billion Tier 1 capital mark this quarter, reaching a 15.9% Tier 1 Capital ratio, a very robust capitalization level which provides a solid foundation not only for Bladex´s financial strength, but also for accelerated business growth going forward as our outlook for Latin America is positive for the remainder of the year as well as 2017. Our origination efforts are focusing now on increasing our short term trade exposures, as we seek to position the Bank for an upward trend in the regional economic cycle, and recovered trade flow growth in particular, while increasing our capacity to adjust portfolio mix and credit profiles to the changing market conditions ever more rapidly. We envision this intensified business origination approach to be a fundamental part of our mission to accelerate the improvement of Return on Equity, Operating Leverage and Efficiency metrics, and we are doubling down on our efforts to improve our technological, processes and human capital capacities to strengthen our core franchise in order to achieve this goal. This, of course, does not mean that we will cease to generate non-trade or medium-term lending exposures – we will continue to strive to serve the needs of our clients along the tenors as complementary support to their trade-related activities. And we most certainly will seek to enhance our value proposition by increasingly providing value-added, fee generating services. Delivering expert, client focused solutions, and efficiently executing low risk trade finance business is what Bladex is all about.” Mr. Amaral concluded.</w:t>
      </w:r>
    </w:p>
    <w:p>
      <w:pPr>
        <w:spacing w:after="0" w:line="399" w:lineRule="exact"/>
        <w:rPr>
          <w:sz w:val="20"/>
          <w:szCs w:val="20"/>
          <w:color w:val="auto"/>
        </w:rPr>
      </w:pPr>
    </w:p>
    <w:p>
      <w:pPr>
        <w:ind w:left="11340"/>
        <w:spacing w:after="0"/>
        <w:rPr>
          <w:sz w:val="20"/>
          <w:szCs w:val="20"/>
          <w:color w:val="auto"/>
        </w:rPr>
      </w:pPr>
      <w:r>
        <w:rPr>
          <w:rFonts w:ascii="Arial" w:cs="Arial" w:eastAsia="Arial" w:hAnsi="Arial"/>
          <w:sz w:val="14"/>
          <w:szCs w:val="14"/>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43815</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4" w:name="page5"/>
    <w:bookmarkEnd w:id="4"/>
    <w:p>
      <w:pPr>
        <w:spacing w:after="0"/>
        <w:rPr>
          <w:sz w:val="20"/>
          <w:szCs w:val="20"/>
          <w:color w:val="auto"/>
        </w:rPr>
      </w:pPr>
      <w:r>
        <w:rPr>
          <w:rFonts w:ascii="Arial" w:cs="Arial" w:eastAsia="Arial" w:hAnsi="Arial"/>
          <w:sz w:val="18"/>
          <w:szCs w:val="18"/>
          <w:b w:val="1"/>
          <w:bCs w:val="1"/>
          <w:color w:val="auto"/>
        </w:rPr>
        <w:t>RECENT EVENTS</w:t>
      </w:r>
    </w:p>
    <w:p>
      <w:pPr>
        <w:spacing w:after="0" w:line="225" w:lineRule="exact"/>
        <w:rPr>
          <w:sz w:val="20"/>
          <w:szCs w:val="20"/>
          <w:color w:val="auto"/>
        </w:rPr>
      </w:pPr>
    </w:p>
    <w:p>
      <w:pPr>
        <w:ind w:left="340" w:hanging="332"/>
        <w:spacing w:after="0" w:line="347" w:lineRule="auto"/>
        <w:tabs>
          <w:tab w:leader="none" w:pos="340" w:val="left"/>
        </w:tabs>
        <w:numPr>
          <w:ilvl w:val="0"/>
          <w:numId w:val="4"/>
        </w:numPr>
        <w:rPr>
          <w:rFonts w:ascii="Arial" w:cs="Arial" w:eastAsia="Arial" w:hAnsi="Arial"/>
          <w:sz w:val="16"/>
          <w:szCs w:val="16"/>
          <w:color w:val="auto"/>
        </w:rPr>
      </w:pPr>
      <w:r>
        <w:rPr>
          <w:rFonts w:ascii="Arial" w:cs="Arial" w:eastAsia="Arial" w:hAnsi="Arial"/>
          <w:sz w:val="16"/>
          <w:szCs w:val="16"/>
          <w:b w:val="1"/>
          <w:bCs w:val="1"/>
          <w:color w:val="auto"/>
        </w:rPr>
        <w:t xml:space="preserve">Quarterly dividend payment: </w:t>
      </w:r>
      <w:r>
        <w:rPr>
          <w:rFonts w:ascii="Arial" w:cs="Arial" w:eastAsia="Arial" w:hAnsi="Arial"/>
          <w:sz w:val="16"/>
          <w:szCs w:val="16"/>
          <w:color w:val="auto"/>
        </w:rPr>
        <w:t>At a meeting held October 18, 2016, the Bank’s Board of Directors approved a quarterly common dividend of $0.385 per</w:t>
      </w:r>
      <w:r>
        <w:rPr>
          <w:rFonts w:ascii="Arial" w:cs="Arial" w:eastAsia="Arial" w:hAnsi="Arial"/>
          <w:sz w:val="16"/>
          <w:szCs w:val="16"/>
          <w:b w:val="1"/>
          <w:bCs w:val="1"/>
          <w:color w:val="auto"/>
        </w:rPr>
        <w:t xml:space="preserve"> </w:t>
      </w:r>
      <w:r>
        <w:rPr>
          <w:rFonts w:ascii="Arial" w:cs="Arial" w:eastAsia="Arial" w:hAnsi="Arial"/>
          <w:sz w:val="16"/>
          <w:szCs w:val="16"/>
          <w:color w:val="auto"/>
        </w:rPr>
        <w:t>share corresponding to the third quarter 2016. The dividend will be paid on November 17, 2016, to stockholders registered as of October 31, 2016.</w:t>
      </w:r>
    </w:p>
    <w:p>
      <w:pPr>
        <w:spacing w:after="0" w:line="11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w:t>
      </w:r>
    </w:p>
    <w:p>
      <w:pPr>
        <w:spacing w:after="0" w:line="27" w:lineRule="exact"/>
        <w:rPr>
          <w:sz w:val="20"/>
          <w:szCs w:val="20"/>
          <w:color w:val="auto"/>
        </w:rPr>
      </w:pPr>
    </w:p>
    <w:p>
      <w:pPr>
        <w:ind w:left="340" w:hanging="332"/>
        <w:spacing w:after="0"/>
        <w:tabs>
          <w:tab w:leader="none" w:pos="340" w:val="left"/>
        </w:tabs>
        <w:numPr>
          <w:ilvl w:val="0"/>
          <w:numId w:val="5"/>
        </w:numPr>
        <w:rPr>
          <w:rFonts w:ascii="Arial" w:cs="Arial" w:eastAsia="Arial" w:hAnsi="Arial"/>
          <w:sz w:val="18"/>
          <w:szCs w:val="18"/>
          <w:color w:val="auto"/>
        </w:rPr>
      </w:pPr>
      <w:r>
        <w:rPr>
          <w:rFonts w:ascii="Arial" w:cs="Arial" w:eastAsia="Arial" w:hAnsi="Arial"/>
          <w:sz w:val="18"/>
          <w:szCs w:val="18"/>
          <w:color w:val="auto"/>
        </w:rPr>
        <w:t>Numbers and percentages set forth in this earnings release have been rounded and accordingly may not total exactly.</w:t>
      </w:r>
    </w:p>
    <w:p>
      <w:pPr>
        <w:spacing w:after="0" w:line="9" w:lineRule="exact"/>
        <w:rPr>
          <w:rFonts w:ascii="Arial" w:cs="Arial" w:eastAsia="Arial" w:hAnsi="Arial"/>
          <w:sz w:val="18"/>
          <w:szCs w:val="18"/>
          <w:color w:val="auto"/>
        </w:rPr>
      </w:pPr>
    </w:p>
    <w:p>
      <w:pPr>
        <w:ind w:left="340" w:hanging="332"/>
        <w:spacing w:after="0"/>
        <w:tabs>
          <w:tab w:leader="none" w:pos="340" w:val="left"/>
        </w:tabs>
        <w:numPr>
          <w:ilvl w:val="0"/>
          <w:numId w:val="5"/>
        </w:numPr>
        <w:rPr>
          <w:rFonts w:ascii="Arial" w:cs="Arial" w:eastAsia="Arial" w:hAnsi="Arial"/>
          <w:sz w:val="18"/>
          <w:szCs w:val="18"/>
          <w:color w:val="auto"/>
        </w:rPr>
      </w:pPr>
      <w:r>
        <w:rPr>
          <w:rFonts w:ascii="Arial" w:cs="Arial" w:eastAsia="Arial" w:hAnsi="Arial"/>
          <w:sz w:val="18"/>
          <w:szCs w:val="18"/>
          <w:color w:val="auto"/>
        </w:rPr>
        <w:t>QoQ and YoY refer to quarter-on-quarter and year-on-year variations, respectively.</w:t>
      </w:r>
    </w:p>
    <w:p>
      <w:pPr>
        <w:spacing w:after="0" w:line="20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Footnotes:</w:t>
      </w:r>
    </w:p>
    <w:p>
      <w:pPr>
        <w:spacing w:after="0" w:line="229" w:lineRule="exact"/>
        <w:rPr>
          <w:sz w:val="20"/>
          <w:szCs w:val="20"/>
          <w:color w:val="auto"/>
        </w:rPr>
      </w:pPr>
    </w:p>
    <w:p>
      <w:pPr>
        <w:jc w:val="both"/>
        <w:ind w:left="340" w:hanging="332"/>
        <w:spacing w:after="0" w:line="264" w:lineRule="auto"/>
        <w:tabs>
          <w:tab w:leader="none" w:pos="340" w:val="left"/>
        </w:tabs>
        <w:numPr>
          <w:ilvl w:val="0"/>
          <w:numId w:val="6"/>
        </w:numPr>
        <w:rPr>
          <w:rFonts w:ascii="Arial" w:cs="Arial" w:eastAsia="Arial" w:hAnsi="Arial"/>
          <w:sz w:val="18"/>
          <w:szCs w:val="18"/>
          <w:color w:val="auto"/>
        </w:rPr>
      </w:pPr>
      <w:r>
        <w:rPr>
          <w:rFonts w:ascii="Arial" w:cs="Arial" w:eastAsia="Arial" w:hAnsi="Arial"/>
          <w:sz w:val="18"/>
          <w:szCs w:val="18"/>
          <w:color w:val="auto"/>
        </w:rPr>
        <w:t>Total operating expenses includes the following expenses line items of the consolidated statements of profit or loss: salaries and other employee expenses, depreciation of equipment and leasehold improvements, amortization of intangible assets, professional services, maintenance and repairs, and other expenses.</w:t>
      </w:r>
    </w:p>
    <w:p>
      <w:pPr>
        <w:spacing w:after="0" w:line="181" w:lineRule="exact"/>
        <w:rPr>
          <w:rFonts w:ascii="Arial" w:cs="Arial" w:eastAsia="Arial" w:hAnsi="Arial"/>
          <w:sz w:val="18"/>
          <w:szCs w:val="18"/>
          <w:color w:val="auto"/>
        </w:rPr>
      </w:pPr>
    </w:p>
    <w:p>
      <w:pPr>
        <w:ind w:left="340" w:hanging="332"/>
        <w:spacing w:after="0"/>
        <w:tabs>
          <w:tab w:leader="none" w:pos="340" w:val="left"/>
        </w:tabs>
        <w:numPr>
          <w:ilvl w:val="0"/>
          <w:numId w:val="6"/>
        </w:numPr>
        <w:rPr>
          <w:rFonts w:ascii="Arial" w:cs="Arial" w:eastAsia="Arial" w:hAnsi="Arial"/>
          <w:sz w:val="18"/>
          <w:szCs w:val="18"/>
          <w:color w:val="auto"/>
        </w:rPr>
      </w:pPr>
      <w:r>
        <w:rPr>
          <w:rFonts w:ascii="Arial" w:cs="Arial" w:eastAsia="Arial" w:hAnsi="Arial"/>
          <w:sz w:val="18"/>
          <w:szCs w:val="18"/>
          <w:color w:val="auto"/>
        </w:rPr>
        <w:t>Business Profit refers to Profit for the period, deducting non-core items.</w:t>
      </w:r>
    </w:p>
    <w:p>
      <w:pPr>
        <w:spacing w:after="0" w:line="225" w:lineRule="exact"/>
        <w:rPr>
          <w:rFonts w:ascii="Arial" w:cs="Arial" w:eastAsia="Arial" w:hAnsi="Arial"/>
          <w:sz w:val="18"/>
          <w:szCs w:val="18"/>
          <w:color w:val="auto"/>
        </w:rPr>
      </w:pPr>
    </w:p>
    <w:p>
      <w:pPr>
        <w:ind w:left="340" w:hanging="332"/>
        <w:spacing w:after="0" w:line="277" w:lineRule="auto"/>
        <w:tabs>
          <w:tab w:leader="none" w:pos="340" w:val="left"/>
        </w:tabs>
        <w:numPr>
          <w:ilvl w:val="0"/>
          <w:numId w:val="6"/>
        </w:numPr>
        <w:rPr>
          <w:rFonts w:ascii="Arial" w:cs="Arial" w:eastAsia="Arial" w:hAnsi="Arial"/>
          <w:sz w:val="18"/>
          <w:szCs w:val="18"/>
          <w:color w:val="auto"/>
        </w:rPr>
      </w:pPr>
      <w:r>
        <w:rPr>
          <w:rFonts w:ascii="Arial" w:cs="Arial" w:eastAsia="Arial" w:hAnsi="Arial"/>
          <w:sz w:val="18"/>
          <w:szCs w:val="18"/>
          <w:color w:val="auto"/>
        </w:rPr>
        <w:t>Non-Core Items include the net results from the participations in the investment funds recorded in the “gain (loss) per financial instrument at fair value through profit or loss – investment funds” line item, other income and other expenses related to investment funds.</w:t>
      </w:r>
    </w:p>
    <w:p>
      <w:pPr>
        <w:spacing w:after="0" w:line="170" w:lineRule="exact"/>
        <w:rPr>
          <w:rFonts w:ascii="Arial" w:cs="Arial" w:eastAsia="Arial" w:hAnsi="Arial"/>
          <w:sz w:val="18"/>
          <w:szCs w:val="18"/>
          <w:color w:val="auto"/>
        </w:rPr>
      </w:pPr>
    </w:p>
    <w:p>
      <w:pPr>
        <w:ind w:left="340" w:hanging="332"/>
        <w:spacing w:after="0"/>
        <w:tabs>
          <w:tab w:leader="none" w:pos="340" w:val="left"/>
        </w:tabs>
        <w:numPr>
          <w:ilvl w:val="0"/>
          <w:numId w:val="6"/>
        </w:numPr>
        <w:rPr>
          <w:rFonts w:ascii="Arial" w:cs="Arial" w:eastAsia="Arial" w:hAnsi="Arial"/>
          <w:sz w:val="18"/>
          <w:szCs w:val="18"/>
          <w:color w:val="auto"/>
        </w:rPr>
      </w:pPr>
      <w:r>
        <w:rPr>
          <w:rFonts w:ascii="Arial" w:cs="Arial" w:eastAsia="Arial" w:hAnsi="Arial"/>
          <w:sz w:val="18"/>
          <w:szCs w:val="18"/>
          <w:color w:val="auto"/>
        </w:rPr>
        <w:t>Earnings per Share (“EPS”) and Business EPS calculations are based on the average number of shares outstanding during each period.</w:t>
      </w:r>
    </w:p>
    <w:p>
      <w:pPr>
        <w:spacing w:after="0" w:line="225" w:lineRule="exact"/>
        <w:rPr>
          <w:rFonts w:ascii="Arial" w:cs="Arial" w:eastAsia="Arial" w:hAnsi="Arial"/>
          <w:sz w:val="18"/>
          <w:szCs w:val="18"/>
          <w:color w:val="auto"/>
        </w:rPr>
      </w:pPr>
    </w:p>
    <w:p>
      <w:pPr>
        <w:ind w:left="340" w:hanging="332"/>
        <w:spacing w:after="0"/>
        <w:tabs>
          <w:tab w:leader="none" w:pos="340" w:val="left"/>
        </w:tabs>
        <w:numPr>
          <w:ilvl w:val="0"/>
          <w:numId w:val="6"/>
        </w:numPr>
        <w:rPr>
          <w:rFonts w:ascii="Arial" w:cs="Arial" w:eastAsia="Arial" w:hAnsi="Arial"/>
          <w:sz w:val="18"/>
          <w:szCs w:val="18"/>
          <w:color w:val="auto"/>
        </w:rPr>
      </w:pPr>
      <w:r>
        <w:rPr>
          <w:rFonts w:ascii="Arial" w:cs="Arial" w:eastAsia="Arial" w:hAnsi="Arial"/>
          <w:sz w:val="18"/>
          <w:szCs w:val="18"/>
          <w:color w:val="auto"/>
        </w:rPr>
        <w:t>ROAE refers to return on average stockholders’ equity which is calculated on the basis of unaudited daily average balances.</w:t>
      </w:r>
    </w:p>
    <w:p>
      <w:pPr>
        <w:spacing w:after="0" w:line="225" w:lineRule="exact"/>
        <w:rPr>
          <w:rFonts w:ascii="Arial" w:cs="Arial" w:eastAsia="Arial" w:hAnsi="Arial"/>
          <w:sz w:val="18"/>
          <w:szCs w:val="18"/>
          <w:color w:val="auto"/>
        </w:rPr>
      </w:pPr>
    </w:p>
    <w:p>
      <w:pPr>
        <w:ind w:left="340" w:hanging="332"/>
        <w:spacing w:after="0"/>
        <w:tabs>
          <w:tab w:leader="none" w:pos="340" w:val="left"/>
        </w:tabs>
        <w:numPr>
          <w:ilvl w:val="0"/>
          <w:numId w:val="6"/>
        </w:numPr>
        <w:rPr>
          <w:rFonts w:ascii="Arial" w:cs="Arial" w:eastAsia="Arial" w:hAnsi="Arial"/>
          <w:sz w:val="18"/>
          <w:szCs w:val="18"/>
          <w:color w:val="auto"/>
        </w:rPr>
      </w:pPr>
      <w:r>
        <w:rPr>
          <w:rFonts w:ascii="Arial" w:cs="Arial" w:eastAsia="Arial" w:hAnsi="Arial"/>
          <w:sz w:val="18"/>
          <w:szCs w:val="18"/>
          <w:color w:val="auto"/>
        </w:rPr>
        <w:t>Business ROAE refers to annualized Business Profit divided by average stockholders’ equity.</w:t>
      </w:r>
    </w:p>
    <w:p>
      <w:pPr>
        <w:spacing w:after="0" w:line="225" w:lineRule="exact"/>
        <w:rPr>
          <w:rFonts w:ascii="Arial" w:cs="Arial" w:eastAsia="Arial" w:hAnsi="Arial"/>
          <w:sz w:val="18"/>
          <w:szCs w:val="18"/>
          <w:color w:val="auto"/>
        </w:rPr>
      </w:pPr>
    </w:p>
    <w:p>
      <w:pPr>
        <w:ind w:left="340" w:hanging="332"/>
        <w:spacing w:after="0"/>
        <w:tabs>
          <w:tab w:leader="none" w:pos="340" w:val="left"/>
        </w:tabs>
        <w:numPr>
          <w:ilvl w:val="0"/>
          <w:numId w:val="6"/>
        </w:numPr>
        <w:rPr>
          <w:rFonts w:ascii="Arial" w:cs="Arial" w:eastAsia="Arial" w:hAnsi="Arial"/>
          <w:sz w:val="18"/>
          <w:szCs w:val="18"/>
          <w:color w:val="auto"/>
        </w:rPr>
      </w:pPr>
      <w:r>
        <w:rPr>
          <w:rFonts w:ascii="Arial" w:cs="Arial" w:eastAsia="Arial" w:hAnsi="Arial"/>
          <w:sz w:val="18"/>
          <w:szCs w:val="18"/>
          <w:color w:val="auto"/>
        </w:rPr>
        <w:t>NIM refers to net interest margin which constitutes to net interest income divided by the average balance of interest-earning assets.</w:t>
      </w:r>
    </w:p>
    <w:p>
      <w:pPr>
        <w:spacing w:after="0" w:line="225" w:lineRule="exact"/>
        <w:rPr>
          <w:rFonts w:ascii="Arial" w:cs="Arial" w:eastAsia="Arial" w:hAnsi="Arial"/>
          <w:sz w:val="18"/>
          <w:szCs w:val="18"/>
          <w:color w:val="auto"/>
        </w:rPr>
      </w:pPr>
    </w:p>
    <w:p>
      <w:pPr>
        <w:ind w:left="340" w:hanging="332"/>
        <w:spacing w:after="0" w:line="277" w:lineRule="auto"/>
        <w:tabs>
          <w:tab w:leader="none" w:pos="340" w:val="left"/>
        </w:tabs>
        <w:numPr>
          <w:ilvl w:val="0"/>
          <w:numId w:val="6"/>
        </w:numPr>
        <w:rPr>
          <w:rFonts w:ascii="Arial" w:cs="Arial" w:eastAsia="Arial" w:hAnsi="Arial"/>
          <w:sz w:val="18"/>
          <w:szCs w:val="18"/>
          <w:color w:val="auto"/>
        </w:rPr>
      </w:pPr>
      <w:r>
        <w:rPr>
          <w:rFonts w:ascii="Arial" w:cs="Arial" w:eastAsia="Arial" w:hAnsi="Arial"/>
          <w:sz w:val="18"/>
          <w:szCs w:val="18"/>
          <w:color w:val="auto"/>
        </w:rPr>
        <w:t>NIS refers to net interest spread which constitutes the average yield earned on interest-earning assets, less the average yield paid on interest-bearing liabilities.</w:t>
      </w:r>
    </w:p>
    <w:p>
      <w:pPr>
        <w:spacing w:after="0" w:line="170" w:lineRule="exact"/>
        <w:rPr>
          <w:rFonts w:ascii="Arial" w:cs="Arial" w:eastAsia="Arial" w:hAnsi="Arial"/>
          <w:sz w:val="18"/>
          <w:szCs w:val="18"/>
          <w:color w:val="auto"/>
        </w:rPr>
      </w:pPr>
    </w:p>
    <w:p>
      <w:pPr>
        <w:ind w:left="340" w:hanging="332"/>
        <w:spacing w:after="0" w:line="277" w:lineRule="auto"/>
        <w:tabs>
          <w:tab w:leader="none" w:pos="340" w:val="left"/>
        </w:tabs>
        <w:numPr>
          <w:ilvl w:val="0"/>
          <w:numId w:val="6"/>
        </w:numPr>
        <w:rPr>
          <w:rFonts w:ascii="Arial" w:cs="Arial" w:eastAsia="Arial" w:hAnsi="Arial"/>
          <w:sz w:val="18"/>
          <w:szCs w:val="18"/>
          <w:color w:val="auto"/>
        </w:rPr>
      </w:pPr>
      <w:r>
        <w:rPr>
          <w:rFonts w:ascii="Arial" w:cs="Arial" w:eastAsia="Arial" w:hAnsi="Arial"/>
          <w:sz w:val="18"/>
          <w:szCs w:val="18"/>
          <w:color w:val="auto"/>
        </w:rPr>
        <w:t>Efficiency Ratio refers to consolidated operating expenses as a percentage of total income. Business Efficiency Ratio refers to business operating expenses as a percentage of total income excluding non-core items.</w:t>
      </w:r>
    </w:p>
    <w:p>
      <w:pPr>
        <w:spacing w:after="0" w:line="170" w:lineRule="exact"/>
        <w:rPr>
          <w:rFonts w:ascii="Arial" w:cs="Arial" w:eastAsia="Arial" w:hAnsi="Arial"/>
          <w:sz w:val="18"/>
          <w:szCs w:val="18"/>
          <w:color w:val="auto"/>
        </w:rPr>
      </w:pPr>
    </w:p>
    <w:p>
      <w:pPr>
        <w:jc w:val="both"/>
        <w:ind w:left="340" w:hanging="332"/>
        <w:spacing w:after="0" w:line="264" w:lineRule="auto"/>
        <w:tabs>
          <w:tab w:leader="none" w:pos="340" w:val="left"/>
        </w:tabs>
        <w:numPr>
          <w:ilvl w:val="0"/>
          <w:numId w:val="6"/>
        </w:numPr>
        <w:rPr>
          <w:rFonts w:ascii="Arial" w:cs="Arial" w:eastAsia="Arial" w:hAnsi="Arial"/>
          <w:sz w:val="18"/>
          <w:szCs w:val="18"/>
          <w:color w:val="auto"/>
        </w:rPr>
      </w:pPr>
      <w:r>
        <w:rPr>
          <w:rFonts w:ascii="Arial" w:cs="Arial" w:eastAsia="Arial" w:hAnsi="Arial"/>
          <w:sz w:val="18"/>
          <w:szCs w:val="18"/>
          <w:color w:val="auto"/>
        </w:rPr>
        <w:t>Tier 1 Capital is calculated according to Basel III capital adequacy guidelines, and is equivalent to stockholders’ equity excluding certain effects such as the OCI effect of the financial instruments at FVTOCI. Tier 1 Capital ratio is calculated as a percentage of risk-weighted assets. Risk-weighted assets are estimated based on Basel III capital adequacy guidelines.</w:t>
      </w:r>
    </w:p>
    <w:p>
      <w:pPr>
        <w:spacing w:after="0" w:line="181" w:lineRule="exact"/>
        <w:rPr>
          <w:rFonts w:ascii="Arial" w:cs="Arial" w:eastAsia="Arial" w:hAnsi="Arial"/>
          <w:sz w:val="18"/>
          <w:szCs w:val="18"/>
          <w:color w:val="auto"/>
        </w:rPr>
      </w:pPr>
    </w:p>
    <w:p>
      <w:pPr>
        <w:ind w:left="340" w:hanging="332"/>
        <w:spacing w:after="0"/>
        <w:tabs>
          <w:tab w:leader="none" w:pos="340" w:val="left"/>
        </w:tabs>
        <w:numPr>
          <w:ilvl w:val="0"/>
          <w:numId w:val="6"/>
        </w:numPr>
        <w:rPr>
          <w:rFonts w:ascii="Arial" w:cs="Arial" w:eastAsia="Arial" w:hAnsi="Arial"/>
          <w:sz w:val="18"/>
          <w:szCs w:val="18"/>
          <w:color w:val="auto"/>
        </w:rPr>
      </w:pPr>
      <w:r>
        <w:rPr>
          <w:rFonts w:ascii="Arial" w:cs="Arial" w:eastAsia="Arial" w:hAnsi="Arial"/>
          <w:sz w:val="18"/>
          <w:szCs w:val="18"/>
          <w:color w:val="auto"/>
        </w:rPr>
        <w:t>Leverage corresponds to assets divided by stockholders’ equity.</w:t>
      </w:r>
    </w:p>
    <w:p>
      <w:pPr>
        <w:spacing w:after="0" w:line="225" w:lineRule="exact"/>
        <w:rPr>
          <w:rFonts w:ascii="Arial" w:cs="Arial" w:eastAsia="Arial" w:hAnsi="Arial"/>
          <w:sz w:val="18"/>
          <w:szCs w:val="18"/>
          <w:color w:val="auto"/>
        </w:rPr>
      </w:pPr>
    </w:p>
    <w:p>
      <w:pPr>
        <w:ind w:left="340" w:hanging="332"/>
        <w:spacing w:after="0" w:line="277" w:lineRule="auto"/>
        <w:tabs>
          <w:tab w:leader="none" w:pos="340" w:val="left"/>
        </w:tabs>
        <w:numPr>
          <w:ilvl w:val="0"/>
          <w:numId w:val="6"/>
        </w:numPr>
        <w:rPr>
          <w:rFonts w:ascii="Arial" w:cs="Arial" w:eastAsia="Arial" w:hAnsi="Arial"/>
          <w:sz w:val="18"/>
          <w:szCs w:val="18"/>
          <w:color w:val="auto"/>
        </w:rPr>
      </w:pPr>
      <w:r>
        <w:rPr>
          <w:rFonts w:ascii="Arial" w:cs="Arial" w:eastAsia="Arial" w:hAnsi="Arial"/>
          <w:sz w:val="18"/>
          <w:szCs w:val="18"/>
          <w:color w:val="auto"/>
        </w:rPr>
        <w:t>Liquid assets refer to total cash and cash equivalents, consisting of cash and due from banks, and interest-bearing deposits in banks, excluding pledged deposits and margin calls. Liquidity ratio refers to liquid assets as a percentage of total assets.</w:t>
      </w:r>
    </w:p>
    <w:p>
      <w:pPr>
        <w:spacing w:after="0" w:line="38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5" w:name="page6"/>
    <w:bookmarkEnd w:id="5"/>
    <w:p>
      <w:pPr>
        <w:spacing w:after="0"/>
        <w:rPr>
          <w:sz w:val="20"/>
          <w:szCs w:val="20"/>
          <w:color w:val="auto"/>
        </w:rPr>
      </w:pPr>
      <w:r>
        <w:rPr>
          <w:rFonts w:ascii="Arial" w:cs="Arial" w:eastAsia="Arial" w:hAnsi="Arial"/>
          <w:sz w:val="18"/>
          <w:szCs w:val="18"/>
          <w:b w:val="1"/>
          <w:bCs w:val="1"/>
          <w:color w:val="auto"/>
        </w:rPr>
        <w:t>SAFE HARBOR STATEMENT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152400</wp:posOffset>
            </wp:positionV>
            <wp:extent cx="7250430" cy="20624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50430" cy="2062480"/>
                    </a:xfrm>
                    <a:prstGeom prst="rect">
                      <a:avLst/>
                    </a:prstGeom>
                    <a:noFill/>
                  </pic:spPr>
                </pic:pic>
              </a:graphicData>
            </a:graphic>
          </wp:anchor>
        </w:drawing>
      </w:r>
    </w:p>
    <w:p>
      <w:pPr>
        <w:spacing w:after="0" w:line="317" w:lineRule="exact"/>
        <w:rPr>
          <w:sz w:val="20"/>
          <w:szCs w:val="20"/>
          <w:color w:val="auto"/>
        </w:rPr>
      </w:pPr>
    </w:p>
    <w:p>
      <w:pPr>
        <w:jc w:val="both"/>
        <w:ind w:left="120" w:right="120"/>
        <w:spacing w:after="0" w:line="286" w:lineRule="auto"/>
        <w:rPr>
          <w:sz w:val="20"/>
          <w:szCs w:val="20"/>
          <w:color w:val="auto"/>
        </w:rPr>
      </w:pPr>
      <w:r>
        <w:rPr>
          <w:rFonts w:ascii="Arial" w:cs="Arial" w:eastAsia="Arial" w:hAnsi="Arial"/>
          <w:sz w:val="16"/>
          <w:szCs w:val="16"/>
          <w:i w:val="1"/>
          <w:iCs w:val="1"/>
          <w:color w:val="auto"/>
        </w:rPr>
        <w:t>This press release contains forward-looking statements of expected future developments. The Bank wishes to ensure that such statements are accompanied by meaningful cautionary statements pursuant to the safe harbor established by the Private Securities Litigation Reform Act of 1995. The forward-looking statements in this press release refer to the growth of the credit portfolio, including the trade portfolio, the increase in the number of the Bank’s corporate clients, the positive trend of lending spreads, the increase in activities engaged in by the Bank that are derived from the Bank’s client base, anticipated operating profit and return on equity in future periods, including income derived from the Treasury Business Segment, the improvement in the financial and performance strength of the Bank and the progress the Bank is making. These forward-looking statements reflect the expectations of the Bank’s management and are based on currently available data; however, actual experience with respect to these factors is subject to future events and uncertainties, which could materially impact the Bank’s expectations. Among the factors that can cause actual performance and results to differ materially are as follows: the anticipated growth of the Bank’s credit portfolio; the continuation of the Bank’s preferred creditor status; the impact of increasing/decreasing interest rates and of the macroeconomic environment in the Region on the Bank’s financial condition; the execution of the Bank’s strategies and initiatives, including its revenue diversification strategy; the adequacy of the Bank’s allowance for expected credit losses; the need for additional allowance for expected credit losses; the Bank’s ability to achieve future growth, to reduce its liquidity levels and increase its leverage; the Bank’s ability to maintain its investment-grade credit ratings; the availability and mix of future sources of funding for the Bank’s lending operations; potential trading losses; the possibility of fraud; and the adequacy of the Bank’s sources of liquidity to replace deposit withdrawals.</w:t>
      </w:r>
    </w:p>
    <w:p>
      <w:pPr>
        <w:spacing w:after="0" w:line="27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ABOUT BLADEX</w:t>
      </w:r>
    </w:p>
    <w:p>
      <w:pPr>
        <w:spacing w:after="0" w:line="229"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Bladex, a multinational bank originally established by the central banks of Latin-American and Caribbean countries, initiated operations in 1979 to promote foreign trade finance and economic integration in the Region. The Bank, headquartered in Panama, operates throughout the Region with offices in Argentina, Brazil, Colombia, Mexico, Peru, and the United States of America, to support the expansion and servicing of its client base, which includes financial institutions and corporations. Through September 30, 2016, Bladex had disbursed accumulated credits of approximately $240 billion.</w:t>
      </w:r>
    </w:p>
    <w:p>
      <w:pPr>
        <w:spacing w:after="0" w:line="17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Bladex is listed on the NYSE in the United States of America (NYSE: BLX), since 1992, and its shareholders include central banks, state-owned banks and entities representing 23 Latin American countries, as well as commercial banks and financial institutions, institutional and retail investors through its public listing.</w:t>
      </w:r>
    </w:p>
    <w:p>
      <w:pPr>
        <w:spacing w:after="0" w:line="17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CONFERENCE CALL INFORMATION</w:t>
      </w:r>
    </w:p>
    <w:p>
      <w:pPr>
        <w:spacing w:after="0" w:line="229"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 xml:space="preserve">There will be a conference call to discuss the Bank’s quarterly results on Thursday, October 20, 2016 at 11:00 a.m. New York City time (Eastern Time). For those interested in participating, please dial (800) 311-9401 in the United States or, if outside the United States, (334) 323-7224. Participants should use conference ID# 8034, and dial in five minutes before the call is set to begin. There will also be a live audio webcast of the conference at http://www.bladex.com. The webcast presentation is available for viewing and downloads on </w:t>
      </w:r>
      <w:r>
        <w:rPr>
          <w:rFonts w:ascii="Arial" w:cs="Arial" w:eastAsia="Arial" w:hAnsi="Arial"/>
          <w:sz w:val="17"/>
          <w:szCs w:val="17"/>
          <w:u w:val="single" w:color="auto"/>
          <w:color w:val="auto"/>
        </w:rPr>
        <w:t>http://www.bladex.com</w:t>
      </w:r>
      <w:r>
        <w:rPr>
          <w:rFonts w:ascii="Arial" w:cs="Arial" w:eastAsia="Arial" w:hAnsi="Arial"/>
          <w:sz w:val="17"/>
          <w:szCs w:val="17"/>
          <w:color w:val="auto"/>
        </w:rPr>
        <w:t>.</w:t>
      </w:r>
    </w:p>
    <w:p>
      <w:pPr>
        <w:spacing w:after="0" w:line="171"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conference call will become available for review on Conference Replay one hour after its conclusion, and will remain available for 60 days. Please dial (877) 919-4059 or (334) 323-0140, and follow the instructions. The replay passcode is: 67185647.</w:t>
      </w:r>
    </w:p>
    <w:p>
      <w:pPr>
        <w:spacing w:after="0" w:line="38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6" w:name="page7"/>
    <w:bookmarkEnd w:id="6"/>
    <w:p>
      <w:pPr>
        <w:spacing w:after="0"/>
        <w:rPr>
          <w:sz w:val="20"/>
          <w:szCs w:val="20"/>
          <w:color w:val="auto"/>
        </w:rPr>
      </w:pPr>
      <w:r>
        <w:rPr>
          <w:rFonts w:ascii="Arial" w:cs="Arial" w:eastAsia="Arial" w:hAnsi="Arial"/>
          <w:sz w:val="18"/>
          <w:szCs w:val="18"/>
          <w:color w:val="auto"/>
        </w:rPr>
        <w:t>For more information, please access http://www.bladex.com or contact:</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Mr. Christopher Schech</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Chief Financial Officer</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Tel: +507 210-8630</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auto"/>
        </w:rPr>
        <w:t>cschech@bladex.com</w:t>
      </w:r>
    </w:p>
    <w:p>
      <w:pPr>
        <w:spacing w:after="0" w:line="211" w:lineRule="exact"/>
        <w:rPr>
          <w:sz w:val="20"/>
          <w:szCs w:val="20"/>
          <w:color w:val="auto"/>
        </w:rPr>
      </w:pPr>
    </w:p>
    <w:p>
      <w:pPr>
        <w:spacing w:after="0"/>
        <w:rPr>
          <w:sz w:val="20"/>
          <w:szCs w:val="20"/>
          <w:color w:val="auto"/>
        </w:rPr>
      </w:pPr>
      <w:r>
        <w:rPr>
          <w:rFonts w:ascii="Arial" w:cs="Arial" w:eastAsia="Arial" w:hAnsi="Arial"/>
          <w:sz w:val="18"/>
          <w:szCs w:val="18"/>
          <w:color w:val="auto"/>
        </w:rPr>
        <w:t>Mrs. Irma Garrido Arango</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SVP, Corporate Development and Investor Relations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Tel: +507 210-8559</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auto"/>
        </w:rPr>
        <w:t>igarrido@bladex.com</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Bladex</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Business Park Torre V, Piso 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Avenida La Rotonda</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Urbanización Costa del Este</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Panama City, Panama</w:t>
      </w:r>
    </w:p>
    <w:p>
      <w:pPr>
        <w:spacing w:after="0" w:line="200" w:lineRule="exact"/>
        <w:rPr>
          <w:sz w:val="20"/>
          <w:szCs w:val="20"/>
          <w:color w:val="auto"/>
        </w:rPr>
      </w:pPr>
    </w:p>
    <w:p>
      <w:pPr>
        <w:spacing w:after="0" w:line="22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908"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2AE8944A"/>
    <w:multiLevelType w:val="hybridMultilevel"/>
    <w:lvl w:ilvl="0">
      <w:lvlJc w:val="left"/>
      <w:lvlText w:val="·"/>
      <w:numFmt w:val="bullet"/>
      <w:start w:val="1"/>
    </w:lvl>
  </w:abstractNum>
  <w:abstractNum w:abstractNumId="1">
    <w:nsid w:val="625558EC"/>
    <w:multiLevelType w:val="hybridMultilevel"/>
    <w:lvl w:ilvl="0">
      <w:lvlJc w:val="left"/>
      <w:lvlText w:val="·"/>
      <w:numFmt w:val="bullet"/>
      <w:start w:val="1"/>
    </w:lvl>
  </w:abstractNum>
  <w:abstractNum w:abstractNumId="2">
    <w:nsid w:val="238E1F29"/>
    <w:multiLevelType w:val="hybridMultilevel"/>
    <w:lvl w:ilvl="0">
      <w:lvlJc w:val="left"/>
      <w:lvlText w:val="·"/>
      <w:numFmt w:val="bullet"/>
      <w:start w:val="1"/>
    </w:lvl>
  </w:abstractNum>
  <w:abstractNum w:abstractNumId="3">
    <w:nsid w:val="46E87CCD"/>
    <w:multiLevelType w:val="hybridMultilevel"/>
    <w:lvl w:ilvl="0">
      <w:lvlJc w:val="left"/>
      <w:lvlText w:val="§"/>
      <w:numFmt w:val="bullet"/>
      <w:start w:val="1"/>
    </w:lvl>
  </w:abstractNum>
  <w:abstractNum w:abstractNumId="4">
    <w:nsid w:val="3D1B58BA"/>
    <w:multiLevelType w:val="hybridMultilevel"/>
    <w:lvl w:ilvl="0">
      <w:lvlJc w:val="left"/>
      <w:lvlText w:val="-"/>
      <w:numFmt w:val="bullet"/>
      <w:start w:val="1"/>
    </w:lvl>
  </w:abstractNum>
  <w:abstractNum w:abstractNumId="5">
    <w:nsid w:val="507ED7AB"/>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2020-01-21T13:25:09Z</dcterms:created>
  <dcterms:modified xsi:type="dcterms:W3CDTF">2020-01-21T13:25:09Z</dcterms:modified>
</cp:coreProperties>
</file>